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0818B">
      <w:pPr>
        <w:numPr>
          <w:ilvl w:val="0"/>
          <w:numId w:val="0"/>
        </w:numPr>
        <w:ind w:leftChars="0"/>
        <w:rPr>
          <w:rFonts w:hint="default" w:ascii="微软雅黑" w:hAnsi="微软雅黑" w:eastAsia="微软雅黑" w:cs="微软雅黑"/>
          <w:lang w:val="en-US" w:eastAsia="zh-CN"/>
        </w:rPr>
      </w:pPr>
      <w:bookmarkStart w:id="0" w:name="_GoBack"/>
      <w:bookmarkEnd w:id="0"/>
      <w:r>
        <w:rPr>
          <w:rFonts w:hint="eastAsia" w:ascii="微软雅黑" w:hAnsi="微软雅黑" w:eastAsia="微软雅黑" w:cs="微软雅黑"/>
          <w:lang w:val="en-US" w:eastAsia="zh-CN"/>
        </w:rPr>
        <w:t>附：</w:t>
      </w:r>
    </w:p>
    <w:p w14:paraId="54F65844">
      <w:pPr>
        <w:numPr>
          <w:ilvl w:val="0"/>
          <w:numId w:val="0"/>
        </w:numPr>
        <w:ind w:leftChars="0"/>
        <w:jc w:val="center"/>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集贤县收回收购存量闲置土地申请表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037"/>
        <w:gridCol w:w="950"/>
        <w:gridCol w:w="913"/>
        <w:gridCol w:w="1075"/>
        <w:gridCol w:w="912"/>
        <w:gridCol w:w="1055"/>
        <w:gridCol w:w="5739"/>
        <w:gridCol w:w="1430"/>
      </w:tblGrid>
      <w:tr w14:paraId="30CF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686" w:type="dxa"/>
            <w:vMerge w:val="restart"/>
          </w:tcPr>
          <w:p w14:paraId="16895A55">
            <w:pPr>
              <w:numPr>
                <w:ilvl w:val="0"/>
                <w:numId w:val="0"/>
              </w:numP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土地权利人</w:t>
            </w:r>
          </w:p>
        </w:tc>
        <w:tc>
          <w:tcPr>
            <w:tcW w:w="1037" w:type="dxa"/>
            <w:vMerge w:val="restart"/>
          </w:tcPr>
          <w:p w14:paraId="12589E7C">
            <w:pPr>
              <w:numPr>
                <w:ilvl w:val="0"/>
                <w:numId w:val="0"/>
              </w:numPr>
              <w:rPr>
                <w:rFonts w:hint="eastAsia" w:ascii="微软雅黑" w:hAnsi="微软雅黑" w:eastAsia="微软雅黑" w:cs="微软雅黑"/>
                <w:sz w:val="18"/>
                <w:szCs w:val="18"/>
                <w:vertAlign w:val="baseline"/>
                <w:lang w:val="en-US" w:eastAsia="zh-CN"/>
              </w:rPr>
            </w:pPr>
          </w:p>
          <w:p w14:paraId="147B676A">
            <w:pPr>
              <w:numPr>
                <w:ilvl w:val="0"/>
                <w:numId w:val="0"/>
              </w:numP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土地座落</w:t>
            </w:r>
          </w:p>
        </w:tc>
        <w:tc>
          <w:tcPr>
            <w:tcW w:w="950" w:type="dxa"/>
            <w:vMerge w:val="restart"/>
          </w:tcPr>
          <w:p w14:paraId="57462D88">
            <w:pPr>
              <w:numPr>
                <w:ilvl w:val="0"/>
                <w:numId w:val="0"/>
              </w:numPr>
              <w:rPr>
                <w:rFonts w:hint="eastAsia" w:ascii="微软雅黑" w:hAnsi="微软雅黑" w:eastAsia="微软雅黑" w:cs="微软雅黑"/>
                <w:sz w:val="18"/>
                <w:szCs w:val="18"/>
                <w:vertAlign w:val="baseline"/>
                <w:lang w:val="en-US" w:eastAsia="zh-CN"/>
              </w:rPr>
            </w:pPr>
          </w:p>
          <w:p w14:paraId="5F9EF678">
            <w:pPr>
              <w:numPr>
                <w:ilvl w:val="0"/>
                <w:numId w:val="0"/>
              </w:numP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土地用途</w:t>
            </w:r>
          </w:p>
        </w:tc>
        <w:tc>
          <w:tcPr>
            <w:tcW w:w="913" w:type="dxa"/>
            <w:vMerge w:val="restart"/>
          </w:tcPr>
          <w:p w14:paraId="4777DEC3">
            <w:pPr>
              <w:numPr>
                <w:ilvl w:val="0"/>
                <w:numId w:val="0"/>
              </w:numP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出让合同监管号</w:t>
            </w:r>
          </w:p>
        </w:tc>
        <w:tc>
          <w:tcPr>
            <w:tcW w:w="3042" w:type="dxa"/>
            <w:gridSpan w:val="3"/>
          </w:tcPr>
          <w:p w14:paraId="470C6E41">
            <w:pPr>
              <w:numPr>
                <w:ilvl w:val="0"/>
                <w:numId w:val="0"/>
              </w:numPr>
              <w:jc w:val="cente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申报收回收购地块</w:t>
            </w:r>
          </w:p>
        </w:tc>
        <w:tc>
          <w:tcPr>
            <w:tcW w:w="5739" w:type="dxa"/>
            <w:vMerge w:val="restart"/>
          </w:tcPr>
          <w:p w14:paraId="13FAE26D">
            <w:pPr>
              <w:numPr>
                <w:ilvl w:val="0"/>
                <w:numId w:val="0"/>
              </w:numPr>
              <w:rPr>
                <w:rFonts w:hint="eastAsia" w:ascii="微软雅黑" w:hAnsi="微软雅黑" w:eastAsia="微软雅黑" w:cs="微软雅黑"/>
                <w:sz w:val="18"/>
                <w:szCs w:val="18"/>
                <w:vertAlign w:val="baseline"/>
                <w:lang w:val="en-US" w:eastAsia="zh-CN"/>
              </w:rPr>
            </w:pPr>
          </w:p>
          <w:p w14:paraId="432F5C17">
            <w:pPr>
              <w:numPr>
                <w:ilvl w:val="0"/>
                <w:numId w:val="0"/>
              </w:numPr>
              <w:ind w:firstLine="2160" w:firstLineChars="1200"/>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申 报 条 件</w:t>
            </w:r>
          </w:p>
        </w:tc>
        <w:tc>
          <w:tcPr>
            <w:tcW w:w="1430" w:type="dxa"/>
            <w:vMerge w:val="restart"/>
          </w:tcPr>
          <w:p w14:paraId="4C958953">
            <w:pPr>
              <w:numPr>
                <w:ilvl w:val="0"/>
                <w:numId w:val="0"/>
              </w:numPr>
              <w:jc w:val="both"/>
              <w:rPr>
                <w:rFonts w:hint="eastAsia" w:ascii="微软雅黑" w:hAnsi="微软雅黑" w:eastAsia="微软雅黑" w:cs="微软雅黑"/>
                <w:sz w:val="18"/>
                <w:szCs w:val="18"/>
                <w:vertAlign w:val="baseline"/>
                <w:lang w:val="en-US" w:eastAsia="zh-CN"/>
              </w:rPr>
            </w:pPr>
          </w:p>
          <w:p w14:paraId="72B8191F">
            <w:pPr>
              <w:numPr>
                <w:ilvl w:val="0"/>
                <w:numId w:val="0"/>
              </w:numPr>
              <w:ind w:firstLine="360" w:firstLineChars="200"/>
              <w:jc w:val="both"/>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备注</w:t>
            </w:r>
          </w:p>
        </w:tc>
      </w:tr>
      <w:tr w14:paraId="4F53F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86" w:type="dxa"/>
            <w:vMerge w:val="continue"/>
          </w:tcPr>
          <w:p w14:paraId="3118278B">
            <w:pPr>
              <w:numPr>
                <w:ilvl w:val="0"/>
                <w:numId w:val="0"/>
              </w:numPr>
              <w:rPr>
                <w:rFonts w:hint="eastAsia" w:ascii="微软雅黑" w:hAnsi="微软雅黑" w:eastAsia="微软雅黑" w:cs="微软雅黑"/>
                <w:sz w:val="18"/>
                <w:szCs w:val="18"/>
                <w:vertAlign w:val="baseline"/>
                <w:lang w:val="en-US" w:eastAsia="zh-CN"/>
              </w:rPr>
            </w:pPr>
          </w:p>
        </w:tc>
        <w:tc>
          <w:tcPr>
            <w:tcW w:w="1037" w:type="dxa"/>
            <w:vMerge w:val="continue"/>
          </w:tcPr>
          <w:p w14:paraId="4F134408">
            <w:pPr>
              <w:numPr>
                <w:ilvl w:val="0"/>
                <w:numId w:val="0"/>
              </w:numPr>
              <w:rPr>
                <w:rFonts w:hint="eastAsia" w:ascii="微软雅黑" w:hAnsi="微软雅黑" w:eastAsia="微软雅黑" w:cs="微软雅黑"/>
                <w:sz w:val="18"/>
                <w:szCs w:val="18"/>
                <w:vertAlign w:val="baseline"/>
                <w:lang w:val="en-US" w:eastAsia="zh-CN"/>
              </w:rPr>
            </w:pPr>
          </w:p>
        </w:tc>
        <w:tc>
          <w:tcPr>
            <w:tcW w:w="950" w:type="dxa"/>
            <w:vMerge w:val="continue"/>
          </w:tcPr>
          <w:p w14:paraId="535FB6E9">
            <w:pPr>
              <w:numPr>
                <w:ilvl w:val="0"/>
                <w:numId w:val="0"/>
              </w:numPr>
              <w:rPr>
                <w:rFonts w:hint="eastAsia" w:ascii="微软雅黑" w:hAnsi="微软雅黑" w:eastAsia="微软雅黑" w:cs="微软雅黑"/>
                <w:sz w:val="18"/>
                <w:szCs w:val="18"/>
                <w:vertAlign w:val="baseline"/>
                <w:lang w:val="en-US" w:eastAsia="zh-CN"/>
              </w:rPr>
            </w:pPr>
          </w:p>
        </w:tc>
        <w:tc>
          <w:tcPr>
            <w:tcW w:w="913" w:type="dxa"/>
            <w:vMerge w:val="continue"/>
          </w:tcPr>
          <w:p w14:paraId="5A7AB208">
            <w:pPr>
              <w:numPr>
                <w:ilvl w:val="0"/>
                <w:numId w:val="0"/>
              </w:numPr>
              <w:rPr>
                <w:rFonts w:hint="eastAsia" w:ascii="微软雅黑" w:hAnsi="微软雅黑" w:eastAsia="微软雅黑" w:cs="微软雅黑"/>
                <w:sz w:val="18"/>
                <w:szCs w:val="18"/>
                <w:vertAlign w:val="baseline"/>
                <w:lang w:val="en-US" w:eastAsia="zh-CN"/>
              </w:rPr>
            </w:pPr>
          </w:p>
        </w:tc>
        <w:tc>
          <w:tcPr>
            <w:tcW w:w="1075" w:type="dxa"/>
          </w:tcPr>
          <w:p w14:paraId="1226BFE9">
            <w:pPr>
              <w:numPr>
                <w:ilvl w:val="0"/>
                <w:numId w:val="0"/>
              </w:numP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土地面积（平方米）</w:t>
            </w:r>
          </w:p>
        </w:tc>
        <w:tc>
          <w:tcPr>
            <w:tcW w:w="912" w:type="dxa"/>
          </w:tcPr>
          <w:p w14:paraId="6EC39595">
            <w:pPr>
              <w:numPr>
                <w:ilvl w:val="0"/>
                <w:numId w:val="0"/>
              </w:numPr>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已投入（万元）</w:t>
            </w:r>
          </w:p>
        </w:tc>
        <w:tc>
          <w:tcPr>
            <w:tcW w:w="1055" w:type="dxa"/>
          </w:tcPr>
          <w:p w14:paraId="5C1C7B4A">
            <w:pPr>
              <w:numPr>
                <w:ilvl w:val="0"/>
                <w:numId w:val="0"/>
              </w:numPr>
              <w:rPr>
                <w:rFonts w:hint="default"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意向收购价（万元）</w:t>
            </w:r>
          </w:p>
        </w:tc>
        <w:tc>
          <w:tcPr>
            <w:tcW w:w="5739" w:type="dxa"/>
            <w:vMerge w:val="continue"/>
          </w:tcPr>
          <w:p w14:paraId="733B13F4">
            <w:pPr>
              <w:numPr>
                <w:ilvl w:val="0"/>
                <w:numId w:val="0"/>
              </w:numPr>
              <w:rPr>
                <w:rFonts w:hint="eastAsia" w:ascii="微软雅黑" w:hAnsi="微软雅黑" w:eastAsia="微软雅黑" w:cs="微软雅黑"/>
                <w:sz w:val="18"/>
                <w:szCs w:val="18"/>
                <w:vertAlign w:val="baseline"/>
                <w:lang w:val="en-US" w:eastAsia="zh-CN"/>
              </w:rPr>
            </w:pPr>
          </w:p>
        </w:tc>
        <w:tc>
          <w:tcPr>
            <w:tcW w:w="1430" w:type="dxa"/>
            <w:vMerge w:val="continue"/>
          </w:tcPr>
          <w:p w14:paraId="7CCCF936">
            <w:pPr>
              <w:numPr>
                <w:ilvl w:val="0"/>
                <w:numId w:val="0"/>
              </w:numPr>
              <w:rPr>
                <w:rFonts w:hint="eastAsia" w:ascii="微软雅黑" w:hAnsi="微软雅黑" w:eastAsia="微软雅黑" w:cs="微软雅黑"/>
                <w:sz w:val="18"/>
                <w:szCs w:val="18"/>
                <w:vertAlign w:val="baseline"/>
                <w:lang w:val="en-US" w:eastAsia="zh-CN"/>
              </w:rPr>
            </w:pPr>
          </w:p>
        </w:tc>
      </w:tr>
      <w:tr w14:paraId="1012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4" w:hRule="atLeast"/>
        </w:trPr>
        <w:tc>
          <w:tcPr>
            <w:tcW w:w="686" w:type="dxa"/>
          </w:tcPr>
          <w:p w14:paraId="40A95A2E">
            <w:pPr>
              <w:numPr>
                <w:ilvl w:val="0"/>
                <w:numId w:val="0"/>
              </w:numPr>
              <w:rPr>
                <w:rFonts w:hint="eastAsia" w:ascii="微软雅黑" w:hAnsi="微软雅黑" w:eastAsia="微软雅黑" w:cs="微软雅黑"/>
                <w:vertAlign w:val="baseline"/>
                <w:lang w:val="en-US" w:eastAsia="zh-CN"/>
              </w:rPr>
            </w:pPr>
          </w:p>
        </w:tc>
        <w:tc>
          <w:tcPr>
            <w:tcW w:w="1037" w:type="dxa"/>
          </w:tcPr>
          <w:p w14:paraId="1B937098">
            <w:pPr>
              <w:numPr>
                <w:ilvl w:val="0"/>
                <w:numId w:val="0"/>
              </w:numPr>
              <w:rPr>
                <w:rFonts w:hint="eastAsia" w:ascii="微软雅黑" w:hAnsi="微软雅黑" w:eastAsia="微软雅黑" w:cs="微软雅黑"/>
                <w:vertAlign w:val="baseline"/>
                <w:lang w:val="en-US" w:eastAsia="zh-CN"/>
              </w:rPr>
            </w:pPr>
          </w:p>
        </w:tc>
        <w:tc>
          <w:tcPr>
            <w:tcW w:w="950" w:type="dxa"/>
          </w:tcPr>
          <w:p w14:paraId="28ADC6A1">
            <w:pPr>
              <w:numPr>
                <w:ilvl w:val="0"/>
                <w:numId w:val="0"/>
              </w:numPr>
              <w:rPr>
                <w:rFonts w:hint="eastAsia" w:ascii="微软雅黑" w:hAnsi="微软雅黑" w:eastAsia="微软雅黑" w:cs="微软雅黑"/>
                <w:vertAlign w:val="baseline"/>
                <w:lang w:val="en-US" w:eastAsia="zh-CN"/>
              </w:rPr>
            </w:pPr>
          </w:p>
        </w:tc>
        <w:tc>
          <w:tcPr>
            <w:tcW w:w="913" w:type="dxa"/>
          </w:tcPr>
          <w:p w14:paraId="4E62C323">
            <w:pPr>
              <w:numPr>
                <w:ilvl w:val="0"/>
                <w:numId w:val="0"/>
              </w:numPr>
              <w:rPr>
                <w:rFonts w:hint="eastAsia" w:ascii="微软雅黑" w:hAnsi="微软雅黑" w:eastAsia="微软雅黑" w:cs="微软雅黑"/>
                <w:vertAlign w:val="baseline"/>
                <w:lang w:val="en-US" w:eastAsia="zh-CN"/>
              </w:rPr>
            </w:pPr>
          </w:p>
        </w:tc>
        <w:tc>
          <w:tcPr>
            <w:tcW w:w="1075" w:type="dxa"/>
          </w:tcPr>
          <w:p w14:paraId="1527B022">
            <w:pPr>
              <w:numPr>
                <w:ilvl w:val="0"/>
                <w:numId w:val="0"/>
              </w:numPr>
              <w:rPr>
                <w:rFonts w:hint="eastAsia" w:ascii="微软雅黑" w:hAnsi="微软雅黑" w:eastAsia="微软雅黑" w:cs="微软雅黑"/>
                <w:vertAlign w:val="baseline"/>
                <w:lang w:val="en-US" w:eastAsia="zh-CN"/>
              </w:rPr>
            </w:pPr>
          </w:p>
        </w:tc>
        <w:tc>
          <w:tcPr>
            <w:tcW w:w="912" w:type="dxa"/>
          </w:tcPr>
          <w:p w14:paraId="4C599913">
            <w:pPr>
              <w:numPr>
                <w:ilvl w:val="0"/>
                <w:numId w:val="0"/>
              </w:numPr>
              <w:rPr>
                <w:rFonts w:hint="eastAsia" w:ascii="微软雅黑" w:hAnsi="微软雅黑" w:eastAsia="微软雅黑" w:cs="微软雅黑"/>
                <w:vertAlign w:val="baseline"/>
                <w:lang w:val="en-US" w:eastAsia="zh-CN"/>
              </w:rPr>
            </w:pPr>
          </w:p>
        </w:tc>
        <w:tc>
          <w:tcPr>
            <w:tcW w:w="1055" w:type="dxa"/>
          </w:tcPr>
          <w:p w14:paraId="0BB0D35A">
            <w:pPr>
              <w:numPr>
                <w:ilvl w:val="0"/>
                <w:numId w:val="0"/>
              </w:numPr>
              <w:rPr>
                <w:rFonts w:hint="eastAsia" w:ascii="微软雅黑" w:hAnsi="微软雅黑" w:eastAsia="微软雅黑" w:cs="微软雅黑"/>
                <w:vertAlign w:val="baseline"/>
                <w:lang w:val="en-US" w:eastAsia="zh-CN"/>
              </w:rPr>
            </w:pPr>
          </w:p>
        </w:tc>
        <w:tc>
          <w:tcPr>
            <w:tcW w:w="5739" w:type="dxa"/>
          </w:tcPr>
          <w:p w14:paraId="0630B0D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color w:val="auto"/>
                <w:spacing w:val="15"/>
                <w:kern w:val="0"/>
                <w:sz w:val="18"/>
                <w:szCs w:val="18"/>
                <w:lang w:val="en-US" w:eastAsia="zh-CN" w:bidi="ar"/>
              </w:rPr>
            </w:pPr>
            <w:r>
              <w:rPr>
                <w:rFonts w:hint="eastAsia" w:ascii="宋体" w:hAnsi="宋体" w:eastAsia="宋体" w:cs="宋体"/>
                <w:color w:val="auto"/>
                <w:spacing w:val="15"/>
                <w:kern w:val="0"/>
                <w:sz w:val="18"/>
                <w:szCs w:val="18"/>
                <w:lang w:val="en-US" w:eastAsia="zh-CN" w:bidi="ar"/>
              </w:rPr>
              <w:t>符合条件的存量闲置土地是指《自然资源部关于运用地方政府专项债券资金收回收购存量闲置土地的通知》（自然资发〔2024〕242号）文件第三条明确的存量闲置土地：</w:t>
            </w:r>
          </w:p>
          <w:p w14:paraId="3515DD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15"/>
                <w:kern w:val="0"/>
                <w:sz w:val="18"/>
                <w:szCs w:val="18"/>
                <w:lang w:val="en-US" w:eastAsia="zh-CN" w:bidi="ar"/>
              </w:rPr>
            </w:pPr>
            <w:r>
              <w:rPr>
                <w:rFonts w:hint="eastAsia" w:ascii="宋体" w:hAnsi="宋体" w:eastAsia="宋体" w:cs="宋体"/>
                <w:color w:val="auto"/>
                <w:spacing w:val="15"/>
                <w:kern w:val="0"/>
                <w:sz w:val="18"/>
                <w:szCs w:val="18"/>
                <w:lang w:val="en-US" w:eastAsia="zh-CN" w:bidi="ar"/>
              </w:rPr>
              <w:t>1、企业无力或无意愿继续开发、已供应未动工的住宅用地和商服用地（优先收回收购）。</w:t>
            </w:r>
          </w:p>
          <w:p w14:paraId="1C1DD8C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15"/>
                <w:kern w:val="0"/>
                <w:sz w:val="18"/>
                <w:szCs w:val="18"/>
                <w:lang w:val="en-US" w:eastAsia="zh-CN" w:bidi="ar"/>
              </w:rPr>
            </w:pPr>
            <w:r>
              <w:rPr>
                <w:rFonts w:hint="eastAsia" w:ascii="宋体" w:hAnsi="宋体" w:eastAsia="宋体" w:cs="宋体"/>
                <w:color w:val="auto"/>
                <w:spacing w:val="15"/>
                <w:kern w:val="0"/>
                <w:sz w:val="18"/>
                <w:szCs w:val="18"/>
                <w:lang w:val="en-US" w:eastAsia="zh-CN" w:bidi="ar"/>
              </w:rPr>
              <w:t>2、其他用途的土地。</w:t>
            </w:r>
          </w:p>
          <w:p w14:paraId="33A8D29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15"/>
                <w:kern w:val="0"/>
                <w:sz w:val="18"/>
                <w:szCs w:val="18"/>
                <w:lang w:val="en-US" w:eastAsia="zh-CN" w:bidi="ar"/>
              </w:rPr>
            </w:pPr>
            <w:r>
              <w:rPr>
                <w:rFonts w:hint="eastAsia" w:ascii="宋体" w:hAnsi="宋体" w:eastAsia="宋体" w:cs="宋体"/>
                <w:color w:val="auto"/>
                <w:spacing w:val="15"/>
                <w:kern w:val="0"/>
                <w:sz w:val="18"/>
                <w:szCs w:val="18"/>
                <w:lang w:val="en-US" w:eastAsia="zh-CN" w:bidi="ar"/>
              </w:rPr>
              <w:t>3、进入司法或破产拍卖、变卖程序的土地。</w:t>
            </w:r>
          </w:p>
          <w:p w14:paraId="0F1BABE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15"/>
                <w:kern w:val="0"/>
                <w:sz w:val="18"/>
                <w:szCs w:val="18"/>
                <w:lang w:val="en-US" w:eastAsia="zh-CN" w:bidi="ar"/>
              </w:rPr>
            </w:pPr>
            <w:r>
              <w:rPr>
                <w:rFonts w:hint="eastAsia" w:ascii="宋体" w:hAnsi="宋体" w:eastAsia="宋体" w:cs="宋体"/>
                <w:color w:val="auto"/>
                <w:spacing w:val="15"/>
                <w:kern w:val="0"/>
                <w:sz w:val="18"/>
                <w:szCs w:val="18"/>
                <w:lang w:val="en-US" w:eastAsia="zh-CN" w:bidi="ar"/>
              </w:rPr>
              <w:t>4、因低效用地再开发或基础设施建设等需要收回的土地。</w:t>
            </w:r>
          </w:p>
          <w:p w14:paraId="3E15370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15"/>
                <w:kern w:val="0"/>
                <w:sz w:val="18"/>
                <w:szCs w:val="18"/>
                <w:lang w:val="en-US" w:eastAsia="zh-CN" w:bidi="ar"/>
              </w:rPr>
            </w:pPr>
            <w:r>
              <w:rPr>
                <w:rFonts w:hint="eastAsia" w:ascii="宋体" w:hAnsi="宋体" w:eastAsia="宋体" w:cs="宋体"/>
                <w:color w:val="auto"/>
                <w:spacing w:val="15"/>
                <w:kern w:val="0"/>
                <w:sz w:val="18"/>
                <w:szCs w:val="18"/>
                <w:lang w:val="en-US" w:eastAsia="zh-CN" w:bidi="ar"/>
              </w:rPr>
              <w:t>5、已动工地块中规划可分割暂未建设的部分土地。</w:t>
            </w:r>
          </w:p>
          <w:p w14:paraId="1CE3CB0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pacing w:val="15"/>
                <w:kern w:val="0"/>
                <w:sz w:val="18"/>
                <w:szCs w:val="18"/>
                <w:lang w:val="en-US" w:eastAsia="zh-CN" w:bidi="ar"/>
              </w:rPr>
            </w:pPr>
            <w:r>
              <w:rPr>
                <w:rFonts w:hint="eastAsia" w:ascii="宋体" w:hAnsi="宋体" w:eastAsia="宋体" w:cs="宋体"/>
                <w:color w:val="auto"/>
                <w:spacing w:val="15"/>
                <w:kern w:val="0"/>
                <w:sz w:val="18"/>
                <w:szCs w:val="18"/>
                <w:lang w:val="en-US" w:eastAsia="zh-CN" w:bidi="ar"/>
              </w:rPr>
              <w:t>6、棚户区改造和城中村项目不纳入此次回购范围。</w:t>
            </w:r>
          </w:p>
          <w:p w14:paraId="503CC9FE">
            <w:pPr>
              <w:pStyle w:val="2"/>
              <w:ind w:firstLine="420" w:firstLineChars="200"/>
              <w:rPr>
                <w:rFonts w:hint="eastAsia" w:ascii="宋体" w:hAnsi="宋体" w:eastAsia="宋体" w:cs="宋体"/>
                <w:color w:val="auto"/>
                <w:spacing w:val="15"/>
                <w:kern w:val="0"/>
                <w:sz w:val="18"/>
                <w:szCs w:val="18"/>
                <w:lang w:val="en-US" w:eastAsia="zh-CN" w:bidi="ar"/>
              </w:rPr>
            </w:pPr>
            <w:r>
              <w:rPr>
                <w:rFonts w:hint="eastAsia" w:hAnsi="宋体" w:eastAsia="宋体" w:cs="宋体"/>
                <w:color w:val="auto"/>
                <w:spacing w:val="15"/>
                <w:kern w:val="0"/>
                <w:sz w:val="18"/>
                <w:szCs w:val="18"/>
                <w:lang w:val="en-US" w:eastAsia="zh-CN" w:bidi="ar"/>
              </w:rPr>
              <w:t>7、</w:t>
            </w:r>
            <w:r>
              <w:rPr>
                <w:rFonts w:hint="eastAsia" w:ascii="宋体" w:hAnsi="宋体" w:eastAsia="宋体" w:cs="宋体"/>
                <w:color w:val="auto"/>
                <w:spacing w:val="15"/>
                <w:kern w:val="0"/>
                <w:sz w:val="18"/>
                <w:szCs w:val="18"/>
                <w:lang w:val="en-US" w:eastAsia="zh-CN" w:bidi="ar"/>
              </w:rPr>
              <w:t>收回收购的土</w:t>
            </w:r>
            <w:r>
              <w:rPr>
                <w:rFonts w:hint="eastAsia" w:ascii="宋体" w:hAnsi="宋体" w:eastAsia="宋体" w:cs="宋体"/>
                <w:sz w:val="18"/>
                <w:szCs w:val="18"/>
                <w:lang w:val="en-US" w:eastAsia="zh-CN"/>
              </w:rPr>
              <w:t>地达到土地</w:t>
            </w:r>
            <w:r>
              <w:rPr>
                <w:rFonts w:hint="eastAsia" w:ascii="宋体" w:hAnsi="宋体" w:eastAsia="宋体" w:cs="宋体"/>
                <w:sz w:val="18"/>
                <w:szCs w:val="18"/>
              </w:rPr>
              <w:t>权利清晰</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没</w:t>
            </w:r>
            <w:r>
              <w:rPr>
                <w:rFonts w:hint="eastAsia" w:ascii="宋体" w:hAnsi="宋体" w:eastAsia="宋体" w:cs="宋体"/>
                <w:sz w:val="18"/>
                <w:szCs w:val="18"/>
              </w:rPr>
              <w:t>有法律经济纠纷</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才可纳入</w:t>
            </w:r>
            <w:r>
              <w:rPr>
                <w:rFonts w:hint="eastAsia" w:ascii="宋体" w:hAnsi="宋体" w:eastAsia="宋体" w:cs="宋体"/>
                <w:color w:val="auto"/>
                <w:spacing w:val="15"/>
                <w:kern w:val="0"/>
                <w:sz w:val="18"/>
                <w:szCs w:val="18"/>
                <w:lang w:val="en-US" w:eastAsia="zh-CN" w:bidi="ar"/>
              </w:rPr>
              <w:t>收回收购范围。</w:t>
            </w:r>
          </w:p>
          <w:p w14:paraId="340A850A">
            <w:pPr>
              <w:pStyle w:val="2"/>
              <w:ind w:firstLine="420" w:firstLineChars="200"/>
              <w:rPr>
                <w:rFonts w:hint="default" w:ascii="微软雅黑" w:hAnsi="微软雅黑" w:eastAsia="微软雅黑" w:cs="微软雅黑"/>
                <w:sz w:val="18"/>
                <w:szCs w:val="18"/>
                <w:vertAlign w:val="baseline"/>
                <w:lang w:val="en-US" w:eastAsia="zh-CN"/>
              </w:rPr>
            </w:pPr>
            <w:r>
              <w:rPr>
                <w:rFonts w:hint="eastAsia" w:hAnsi="宋体" w:eastAsia="宋体" w:cs="宋体"/>
                <w:color w:val="auto"/>
                <w:spacing w:val="15"/>
                <w:kern w:val="0"/>
                <w:sz w:val="18"/>
                <w:szCs w:val="18"/>
                <w:lang w:val="en-US" w:eastAsia="zh-CN" w:bidi="ar"/>
              </w:rPr>
              <w:t>8、2024年11月7日之后供应的土地不列入存量闲置土地范围。</w:t>
            </w:r>
          </w:p>
        </w:tc>
        <w:tc>
          <w:tcPr>
            <w:tcW w:w="1430" w:type="dxa"/>
          </w:tcPr>
          <w:p w14:paraId="73879F47">
            <w:pPr>
              <w:numPr>
                <w:ilvl w:val="0"/>
                <w:numId w:val="0"/>
              </w:numPr>
              <w:rPr>
                <w:rFonts w:hint="eastAsia" w:ascii="微软雅黑" w:hAnsi="微软雅黑" w:eastAsia="微软雅黑" w:cs="微软雅黑"/>
                <w:vertAlign w:val="baseline"/>
                <w:lang w:val="en-US" w:eastAsia="zh-CN"/>
              </w:rPr>
            </w:pPr>
          </w:p>
        </w:tc>
      </w:tr>
    </w:tbl>
    <w:p w14:paraId="2E5DA1C1">
      <w:pPr>
        <w:numPr>
          <w:ilvl w:val="0"/>
          <w:numId w:val="0"/>
        </w:numPr>
        <w:ind w:leftChars="0"/>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申报企业（盖章）：                            联系人及电话：</w:t>
      </w:r>
    </w:p>
    <w:p w14:paraId="47168073">
      <w:pPr>
        <w:numPr>
          <w:ilvl w:val="0"/>
          <w:numId w:val="0"/>
        </w:numPr>
        <w:ind w:leftChars="0"/>
        <w:rPr>
          <w:rFonts w:hint="default" w:ascii="仿宋" w:hAnsi="仿宋" w:eastAsia="仿宋" w:cs="仿宋"/>
          <w:color w:val="auto"/>
          <w:spacing w:val="15"/>
          <w:kern w:val="0"/>
          <w:sz w:val="32"/>
          <w:szCs w:val="32"/>
          <w:lang w:val="en-US" w:eastAsia="zh-CN" w:bidi="ar"/>
        </w:rPr>
      </w:pPr>
      <w:r>
        <w:rPr>
          <w:rFonts w:hint="eastAsia" w:ascii="微软雅黑" w:hAnsi="微软雅黑" w:eastAsia="微软雅黑" w:cs="微软雅黑"/>
          <w:lang w:val="en-US" w:eastAsia="zh-CN"/>
        </w:rPr>
        <w:t>备注：每宗地块对应申报一份申报表，如企业有多宗地块，请分开填报。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41E15"/>
    <w:rsid w:val="03E362B2"/>
    <w:rsid w:val="282A6A75"/>
    <w:rsid w:val="42141E15"/>
    <w:rsid w:val="63AC4848"/>
    <w:rsid w:val="659C7B4D"/>
    <w:rsid w:val="69D22B12"/>
    <w:rsid w:val="74F1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1295</Words>
  <Characters>1335</Characters>
  <Lines>0</Lines>
  <Paragraphs>0</Paragraphs>
  <TotalTime>28</TotalTime>
  <ScaleCrop>false</ScaleCrop>
  <LinksUpToDate>false</LinksUpToDate>
  <CharactersWithSpaces>1369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2025-04-09T05:20:00Z</dcterms:created>
  <dc:creator>男儿当自强</dc:creator>
  <cp:lastModifiedBy>WPS_1638440005</cp:lastModifiedBy>
  <dcterms:modified xsi:type="dcterms:W3CDTF">2025-04-17T07:59:43Z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142D9141780E40028B151A5F46192311_13</vt:lpwstr>
  </property>
  <property fmtid="{D5CDD505-2E9C-101B-9397-08002B2CF9AE}" pid="4" name="KSOTemplateDocerSaveRecord">
    <vt:lpwstr>eyJoZGlkIjoiMTZiMmE1ZTNmMjY4MmE2YjgyMDU0NGYwMmUwZjcxOTYiLCJ1c2VySWQiOiIxMjk1Nzg1NTUzIn0=</vt:lpwstr>
  </property>
</Properties>
</file>