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E6768">
      <w:pPr>
        <w:autoSpaceDE w:val="0"/>
        <w:autoSpaceDN w:val="0"/>
        <w:snapToGrid w:val="0"/>
        <w:spacing w:after="312" w:afterLines="100"/>
        <w:ind w:firstLine="900" w:firstLineChars="200"/>
        <w:jc w:val="both"/>
        <w:rPr>
          <w:rFonts w:hint="eastAsia" w:ascii="方正小标宋简体" w:eastAsia="方正小标宋简体"/>
          <w:bCs/>
          <w:color w:val="000000" w:themeColor="text1"/>
          <w:spacing w:val="5"/>
          <w:kern w:val="0"/>
          <w:sz w:val="44"/>
          <w:szCs w:val="44"/>
          <w:highlight w:val="none"/>
          <w:shd w:val="clear" w:color="auto" w:fill="auto"/>
          <w14:textFill>
            <w14:solidFill>
              <w14:schemeClr w14:val="tx1"/>
            </w14:solidFill>
          </w14:textFill>
        </w:rPr>
      </w:pPr>
      <mc:AlternateContent>
        <mc:Choice Requires="wpsCustomData">
          <wpsCustomData:docfieldStart id="0" docfieldname="WPS_ZHENGWEN" hidden="0" print="1" readonly="0" index="1"/>
        </mc:Choice>
      </mc:AlternateContent>
      <w:r>
        <w:rPr>
          <w:rFonts w:hint="eastAsia" w:ascii="方正小标宋简体" w:eastAsia="方正小标宋简体"/>
          <w:bCs/>
          <w:color w:val="000000" w:themeColor="text1"/>
          <w:spacing w:val="5"/>
          <w:kern w:val="0"/>
          <w:sz w:val="44"/>
          <w:szCs w:val="44"/>
          <w:highlight w:val="none"/>
          <w:shd w:val="clear" w:color="auto" w:fill="auto"/>
          <w:lang w:eastAsia="zh-CN"/>
          <w14:textFill>
            <w14:solidFill>
              <w14:schemeClr w14:val="tx1"/>
            </w14:solidFill>
          </w14:textFill>
        </w:rPr>
        <w:t>集贤县</w:t>
      </w:r>
      <w:r>
        <w:rPr>
          <w:rFonts w:hint="eastAsia" w:ascii="方正小标宋简体" w:eastAsia="方正小标宋简体"/>
          <w:bCs/>
          <w:color w:val="000000" w:themeColor="text1"/>
          <w:spacing w:val="5"/>
          <w:kern w:val="0"/>
          <w:sz w:val="44"/>
          <w:szCs w:val="44"/>
          <w:highlight w:val="none"/>
          <w:shd w:val="clear" w:color="auto" w:fill="auto"/>
          <w14:textFill>
            <w14:solidFill>
              <w14:schemeClr w14:val="tx1"/>
            </w14:solidFill>
          </w14:textFill>
        </w:rPr>
        <w:t>烟草制品零售点合理布局规划</w:t>
      </w:r>
    </w:p>
    <w:p w14:paraId="7A78C987">
      <w:pPr>
        <w:tabs>
          <w:tab w:val="center" w:pos="4153"/>
          <w:tab w:val="left" w:pos="7820"/>
          <w:tab w:val="right" w:pos="8306"/>
        </w:tabs>
        <w:spacing w:line="590" w:lineRule="exact"/>
        <w:jc w:val="center"/>
        <w:rPr>
          <w:rFonts w:ascii="黑体" w:hAnsi="黑体" w:eastAsia="黑体"/>
          <w:color w:val="000000" w:themeColor="text1"/>
          <w:sz w:val="32"/>
          <w:szCs w:val="32"/>
          <w:highlight w:val="none"/>
          <w:shd w:val="clear" w:color="auto" w:fill="auto"/>
          <w14:textFill>
            <w14:solidFill>
              <w14:schemeClr w14:val="tx1"/>
            </w14:solidFill>
          </w14:textFill>
        </w:rPr>
      </w:pPr>
      <w:r>
        <w:rPr>
          <w:rFonts w:hint="eastAsia" w:ascii="黑体" w:hAnsi="黑体" w:eastAsia="黑体"/>
          <w:color w:val="000000" w:themeColor="text1"/>
          <w:sz w:val="32"/>
          <w:szCs w:val="32"/>
          <w:highlight w:val="none"/>
          <w:shd w:val="clear" w:color="auto" w:fill="auto"/>
          <w14:textFill>
            <w14:solidFill>
              <w14:schemeClr w14:val="tx1"/>
            </w14:solidFill>
          </w14:textFill>
        </w:rPr>
        <w:t>第一章  总  则</w:t>
      </w:r>
    </w:p>
    <w:p w14:paraId="0B576385">
      <w:pPr>
        <w:spacing w:before="156" w:beforeLines="50" w:line="360" w:lineRule="auto"/>
        <w:ind w:firstLine="640" w:firstLineChars="200"/>
        <w:rPr>
          <w:rFonts w:hint="eastAsia" w:ascii="仿宋_GB2312" w:eastAsia="仿宋_GB2312"/>
          <w:color w:val="000000" w:themeColor="text1"/>
          <w:sz w:val="32"/>
          <w:szCs w:val="32"/>
          <w:highlight w:val="none"/>
          <w:shd w:val="clear" w:color="auto" w:fill="auto"/>
          <w14:textFill>
            <w14:solidFill>
              <w14:schemeClr w14:val="tx1"/>
            </w14:solidFill>
          </w14:textFill>
        </w:rPr>
      </w:pPr>
      <w:r>
        <w:rPr>
          <w:rFonts w:hint="eastAsia" w:ascii="黑体" w:hAnsi="黑体" w:eastAsia="黑体"/>
          <w:bCs/>
          <w:color w:val="000000" w:themeColor="text1"/>
          <w:sz w:val="32"/>
          <w:szCs w:val="32"/>
          <w:highlight w:val="none"/>
          <w:shd w:val="clear" w:color="auto" w:fill="auto"/>
          <w14:textFill>
            <w14:solidFill>
              <w14:schemeClr w14:val="tx1"/>
            </w14:solidFill>
          </w14:textFill>
        </w:rPr>
        <w:t xml:space="preserve">第一条  </w:t>
      </w:r>
      <w:r>
        <w:rPr>
          <w:rFonts w:hint="eastAsia" w:ascii="仿宋_GB2312" w:eastAsia="仿宋_GB2312"/>
          <w:color w:val="000000" w:themeColor="text1"/>
          <w:sz w:val="32"/>
          <w:szCs w:val="32"/>
          <w:highlight w:val="none"/>
          <w:shd w:val="clear" w:color="auto" w:fill="auto"/>
          <w14:textFill>
            <w14:solidFill>
              <w14:schemeClr w14:val="tx1"/>
            </w14:solidFill>
          </w14:textFill>
        </w:rPr>
        <w:t>为规范烟草制品市场经营秩序，加强烟草专卖零售许可管理，进一步维护国家利益和消费者的合法权益，依据《中华人民共和国行政许可法》《中华人民共和国烟草专卖法》</w:t>
      </w:r>
      <w:r>
        <w:rPr>
          <w:rFonts w:hint="eastAsia" w:ascii="仿宋_GB2312" w:eastAsia="仿宋_GB2312"/>
          <w:color w:val="000000" w:themeColor="text1"/>
          <w:sz w:val="32"/>
          <w:szCs w:val="32"/>
          <w:highlight w:val="none"/>
          <w:shd w:val="clear" w:color="auto" w:fill="auto"/>
          <w:lang w:eastAsia="zh-CN"/>
          <w14:textFill>
            <w14:solidFill>
              <w14:schemeClr w14:val="tx1"/>
            </w14:solidFill>
          </w14:textFill>
        </w:rPr>
        <w:t>《中华人民共和国未成年人保护法》</w:t>
      </w:r>
      <w:r>
        <w:rPr>
          <w:rFonts w:hint="eastAsia" w:ascii="仿宋_GB2312" w:eastAsia="仿宋_GB2312"/>
          <w:color w:val="000000" w:themeColor="text1"/>
          <w:sz w:val="32"/>
          <w:szCs w:val="32"/>
          <w:highlight w:val="none"/>
          <w:shd w:val="clear" w:color="auto" w:fill="auto"/>
          <w14:textFill>
            <w14:solidFill>
              <w14:schemeClr w14:val="tx1"/>
            </w14:solidFill>
          </w14:textFill>
        </w:rPr>
        <w:t>《中华人民共和国烟草专卖法实施条例》《烟草专卖许可证管理办法》和《烟草专卖许可证管理办法实施细则》等相关法律法规规章及规范性文件规定，结合</w:t>
      </w:r>
      <w:r>
        <w:rPr>
          <w:rFonts w:hint="eastAsia" w:ascii="仿宋_GB2312" w:eastAsia="仿宋_GB2312"/>
          <w:color w:val="000000" w:themeColor="text1"/>
          <w:sz w:val="32"/>
          <w:szCs w:val="32"/>
          <w:highlight w:val="none"/>
          <w:shd w:val="clear" w:color="auto" w:fill="auto"/>
          <w:lang w:eastAsia="zh-CN"/>
          <w14:textFill>
            <w14:solidFill>
              <w14:schemeClr w14:val="tx1"/>
            </w14:solidFill>
          </w14:textFill>
        </w:rPr>
        <w:t>集贤县</w:t>
      </w:r>
      <w:r>
        <w:rPr>
          <w:rFonts w:hint="eastAsia" w:ascii="仿宋_GB2312" w:eastAsia="仿宋_GB2312"/>
          <w:color w:val="000000" w:themeColor="text1"/>
          <w:sz w:val="32"/>
          <w:szCs w:val="32"/>
          <w:highlight w:val="none"/>
          <w:shd w:val="clear" w:color="auto" w:fill="auto"/>
          <w14:textFill>
            <w14:solidFill>
              <w14:schemeClr w14:val="tx1"/>
            </w14:solidFill>
          </w14:textFill>
        </w:rPr>
        <w:t>实际，制定本规划。</w:t>
      </w:r>
    </w:p>
    <w:p w14:paraId="45FAA7EC">
      <w:pPr>
        <w:spacing w:before="156" w:beforeLines="50" w:line="360" w:lineRule="auto"/>
        <w:ind w:firstLine="640" w:firstLineChars="200"/>
        <w:rPr>
          <w:rFonts w:hint="eastAsia" w:ascii="仿宋_GB2312" w:eastAsia="仿宋_GB2312"/>
          <w:b/>
          <w:bCs/>
          <w:color w:val="000000" w:themeColor="text1"/>
          <w:kern w:val="2"/>
          <w:sz w:val="32"/>
          <w:szCs w:val="32"/>
          <w:highlight w:val="none"/>
          <w:shd w:val="clear" w:color="auto" w:fill="auto"/>
          <w14:textFill>
            <w14:solidFill>
              <w14:schemeClr w14:val="tx1"/>
            </w14:solidFill>
          </w14:textFill>
        </w:rPr>
      </w:pPr>
      <w:r>
        <w:rPr>
          <w:rFonts w:hint="eastAsia" w:ascii="黑体" w:hAnsi="黑体" w:eastAsia="黑体"/>
          <w:bCs/>
          <w:color w:val="000000" w:themeColor="text1"/>
          <w:kern w:val="2"/>
          <w:sz w:val="32"/>
          <w:szCs w:val="32"/>
          <w:highlight w:val="none"/>
          <w:shd w:val="clear" w:color="auto" w:fill="auto"/>
          <w14:textFill>
            <w14:solidFill>
              <w14:schemeClr w14:val="tx1"/>
            </w14:solidFill>
          </w14:textFill>
        </w:rPr>
        <w:t>第二条</w:t>
      </w:r>
      <w:r>
        <w:rPr>
          <w:rFonts w:hint="eastAsia" w:ascii="仿宋_GB2312" w:eastAsia="仿宋_GB2312"/>
          <w:b/>
          <w:bCs/>
          <w:color w:val="000000" w:themeColor="text1"/>
          <w:kern w:val="2"/>
          <w:sz w:val="32"/>
          <w:szCs w:val="32"/>
          <w:highlight w:val="none"/>
          <w:shd w:val="clear" w:color="auto" w:fill="auto"/>
          <w14:textFill>
            <w14:solidFill>
              <w14:schemeClr w14:val="tx1"/>
            </w14:solidFill>
          </w14:textFill>
        </w:rPr>
        <w:t xml:space="preserve">  </w:t>
      </w:r>
      <w:r>
        <w:rPr>
          <w:rFonts w:hint="eastAsia" w:ascii="仿宋_GB2312" w:eastAsia="仿宋_GB2312"/>
          <w:color w:val="000000" w:themeColor="text1"/>
          <w:sz w:val="32"/>
          <w:szCs w:val="32"/>
          <w:highlight w:val="none"/>
          <w:shd w:val="clear" w:color="auto" w:fill="auto"/>
          <w14:textFill>
            <w14:solidFill>
              <w14:schemeClr w14:val="tx1"/>
            </w14:solidFill>
          </w14:textFill>
        </w:rPr>
        <w:t>本规划所称“烟草制品零售点合理布局”（以下简称</w:t>
      </w:r>
      <w:r>
        <w:rPr>
          <w:rFonts w:hint="eastAsia" w:ascii="仿宋_GB2312" w:eastAsia="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eastAsia="仿宋_GB2312"/>
          <w:color w:val="000000" w:themeColor="text1"/>
          <w:sz w:val="32"/>
          <w:szCs w:val="32"/>
          <w:highlight w:val="none"/>
          <w:shd w:val="clear" w:color="auto" w:fill="auto"/>
          <w14:textFill>
            <w14:solidFill>
              <w14:schemeClr w14:val="tx1"/>
            </w14:solidFill>
          </w14:textFill>
        </w:rPr>
        <w:t>合理布局</w:t>
      </w:r>
      <w:r>
        <w:rPr>
          <w:rFonts w:hint="eastAsia" w:ascii="仿宋_GB2312" w:eastAsia="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eastAsia="仿宋_GB2312"/>
          <w:color w:val="000000" w:themeColor="text1"/>
          <w:sz w:val="32"/>
          <w:szCs w:val="32"/>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，是指遵循依法行政、科学规划、服务社会、均衡发展的原则</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合理满足消费需求、防止无序过度竞争，</w:t>
      </w:r>
      <w:r>
        <w:rPr>
          <w:rFonts w:hint="eastAsia" w:ascii="仿宋_GB2312" w:eastAsia="仿宋_GB2312"/>
          <w:color w:val="000000" w:themeColor="text1"/>
          <w:sz w:val="32"/>
          <w:szCs w:val="32"/>
          <w:highlight w:val="none"/>
          <w:shd w:val="clear" w:color="auto" w:fill="auto"/>
          <w14:textFill>
            <w14:solidFill>
              <w14:schemeClr w14:val="tx1"/>
            </w14:solidFill>
          </w14:textFill>
        </w:rPr>
        <w:t>将辖区划分为若干个最小市场单元，</w:t>
      </w:r>
      <w:r>
        <w:rPr>
          <w:rFonts w:hint="eastAsia" w:ascii="仿宋_GB2312" w:eastAsia="仿宋_GB2312" w:cs="仿宋_GB2312"/>
          <w:color w:val="000000" w:themeColor="text1"/>
          <w:sz w:val="32"/>
          <w:szCs w:val="32"/>
          <w:highlight w:val="none"/>
          <w:shd w:val="clear" w:color="auto" w:fill="auto"/>
          <w14:textFill>
            <w14:solidFill>
              <w14:schemeClr w14:val="tx1"/>
            </w14:solidFill>
          </w14:textFill>
        </w:rPr>
        <w:t>并规划确定各最小市场单元零售点指导数量</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p>
    <w:p w14:paraId="356308F2">
      <w:pPr>
        <w:pStyle w:val="6"/>
        <w:widowControl/>
        <w:spacing w:before="0" w:beforeAutospacing="0" w:after="0" w:afterAutospacing="0" w:line="590" w:lineRule="exact"/>
        <w:ind w:firstLine="660"/>
        <w:jc w:val="both"/>
        <w:rPr>
          <w:rFonts w:ascii="仿宋_GB2312" w:eastAsia="仿宋_GB2312"/>
          <w:color w:val="000000" w:themeColor="text1"/>
          <w:kern w:val="2"/>
          <w:sz w:val="32"/>
          <w:szCs w:val="32"/>
          <w:highlight w:val="none"/>
          <w:shd w:val="clear" w:color="auto" w:fill="auto"/>
          <w14:textFill>
            <w14:solidFill>
              <w14:schemeClr w14:val="tx1"/>
            </w14:solidFill>
          </w14:textFill>
        </w:rPr>
      </w:pPr>
      <w:r>
        <w:rPr>
          <w:rFonts w:hint="eastAsia" w:ascii="黑体" w:hAnsi="黑体" w:eastAsia="黑体"/>
          <w:bCs/>
          <w:color w:val="000000" w:themeColor="text1"/>
          <w:kern w:val="2"/>
          <w:sz w:val="32"/>
          <w:szCs w:val="32"/>
          <w:highlight w:val="none"/>
          <w:shd w:val="clear" w:color="auto" w:fill="auto"/>
          <w14:textFill>
            <w14:solidFill>
              <w14:schemeClr w14:val="tx1"/>
            </w14:solidFill>
          </w14:textFill>
        </w:rPr>
        <w:t xml:space="preserve">第三条  </w:t>
      </w:r>
      <w:r>
        <w:rPr>
          <w:rFonts w:hint="eastAsia" w:ascii="仿宋_GB2312" w:hAnsi="宋体" w:eastAsia="仿宋_GB2312"/>
          <w:color w:val="000000" w:themeColor="text1"/>
          <w:sz w:val="32"/>
          <w:szCs w:val="32"/>
          <w:highlight w:val="none"/>
          <w:shd w:val="clear" w:color="auto" w:fill="auto"/>
          <w14:textFill>
            <w14:solidFill>
              <w14:schemeClr w14:val="tx1"/>
            </w14:solidFill>
          </w14:textFill>
        </w:rPr>
        <w:t>本规划适用于</w:t>
      </w:r>
      <w:r>
        <w:rPr>
          <w:rFonts w:hint="eastAsia" w:ascii="仿宋_GB2312" w:hAnsi="宋体" w:eastAsia="仿宋_GB2312"/>
          <w:color w:val="000000" w:themeColor="text1"/>
          <w:sz w:val="32"/>
          <w:szCs w:val="32"/>
          <w:highlight w:val="none"/>
          <w:shd w:val="clear" w:color="auto" w:fill="auto"/>
          <w:lang w:eastAsia="zh-CN"/>
          <w14:textFill>
            <w14:solidFill>
              <w14:schemeClr w14:val="tx1"/>
            </w14:solidFill>
          </w14:textFill>
        </w:rPr>
        <w:t>集贤县县</w:t>
      </w:r>
      <w:r>
        <w:rPr>
          <w:rFonts w:hint="eastAsia" w:ascii="仿宋_GB2312" w:eastAsia="仿宋_GB2312"/>
          <w:color w:val="000000" w:themeColor="text1"/>
          <w:spacing w:val="4"/>
          <w:sz w:val="32"/>
          <w:szCs w:val="32"/>
          <w:highlight w:val="none"/>
          <w:shd w:val="clear" w:color="auto" w:fill="auto"/>
          <w14:textFill>
            <w14:solidFill>
              <w14:schemeClr w14:val="tx1"/>
            </w14:solidFill>
          </w14:textFill>
        </w:rPr>
        <w:t>本级（以下简称</w:t>
      </w:r>
      <w:r>
        <w:rPr>
          <w:rFonts w:hint="eastAsia" w:ascii="仿宋_GB2312" w:eastAsia="仿宋_GB2312"/>
          <w:color w:val="000000" w:themeColor="text1"/>
          <w:spacing w:val="4"/>
          <w:sz w:val="32"/>
          <w:szCs w:val="32"/>
          <w:highlight w:val="none"/>
          <w:shd w:val="clear" w:color="auto" w:fill="auto"/>
          <w:lang w:eastAsia="zh-CN"/>
          <w14:textFill>
            <w14:solidFill>
              <w14:schemeClr w14:val="tx1"/>
            </w14:solidFill>
          </w14:textFill>
        </w:rPr>
        <w:t>“县</w:t>
      </w:r>
      <w:r>
        <w:rPr>
          <w:rFonts w:hint="eastAsia" w:ascii="仿宋_GB2312" w:eastAsia="仿宋_GB2312"/>
          <w:color w:val="000000" w:themeColor="text1"/>
          <w:spacing w:val="4"/>
          <w:sz w:val="32"/>
          <w:szCs w:val="32"/>
          <w:highlight w:val="none"/>
          <w:shd w:val="clear" w:color="auto" w:fill="auto"/>
          <w14:textFill>
            <w14:solidFill>
              <w14:schemeClr w14:val="tx1"/>
            </w14:solidFill>
          </w14:textFill>
        </w:rPr>
        <w:t>本级</w:t>
      </w:r>
      <w:r>
        <w:rPr>
          <w:rFonts w:hint="eastAsia" w:ascii="仿宋_GB2312" w:eastAsia="仿宋_GB2312"/>
          <w:color w:val="000000" w:themeColor="text1"/>
          <w:spacing w:val="4"/>
          <w:sz w:val="32"/>
          <w:szCs w:val="32"/>
          <w:highlight w:val="none"/>
          <w:shd w:val="clear" w:color="auto" w:fill="auto"/>
          <w:lang w:eastAsia="zh-CN"/>
          <w14:textFill>
            <w14:solidFill>
              <w14:schemeClr w14:val="tx1"/>
            </w14:solidFill>
          </w14:textFill>
        </w:rPr>
        <w:t>”</w:t>
      </w:r>
      <w:r>
        <w:rPr>
          <w:rFonts w:hint="eastAsia" w:ascii="仿宋_GB2312" w:eastAsia="仿宋_GB2312"/>
          <w:color w:val="000000" w:themeColor="text1"/>
          <w:spacing w:val="4"/>
          <w:sz w:val="32"/>
          <w:szCs w:val="32"/>
          <w:highlight w:val="none"/>
          <w:shd w:val="clear" w:color="auto" w:fill="auto"/>
          <w14:textFill>
            <w14:solidFill>
              <w14:schemeClr w14:val="tx1"/>
            </w14:solidFill>
          </w14:textFill>
        </w:rPr>
        <w:t>）所管辖</w:t>
      </w:r>
      <w:r>
        <w:rPr>
          <w:rFonts w:hint="eastAsia" w:ascii="仿宋_GB2312" w:eastAsia="仿宋_GB2312"/>
          <w:color w:val="000000" w:themeColor="text1"/>
          <w:spacing w:val="4"/>
          <w:sz w:val="32"/>
          <w:szCs w:val="32"/>
          <w:highlight w:val="none"/>
          <w:shd w:val="clear" w:color="auto" w:fill="auto"/>
          <w:lang w:eastAsia="zh-CN"/>
          <w14:textFill>
            <w14:solidFill>
              <w14:schemeClr w14:val="tx1"/>
            </w14:solidFill>
          </w14:textFill>
        </w:rPr>
        <w:t>区</w:t>
      </w:r>
      <w:r>
        <w:rPr>
          <w:rFonts w:hint="eastAsia" w:ascii="仿宋_GB2312" w:eastAsia="仿宋_GB2312"/>
          <w:color w:val="000000" w:themeColor="text1"/>
          <w:spacing w:val="4"/>
          <w:sz w:val="32"/>
          <w:szCs w:val="32"/>
          <w:highlight w:val="none"/>
          <w:shd w:val="clear" w:color="auto" w:fill="auto"/>
          <w14:textFill>
            <w14:solidFill>
              <w14:schemeClr w14:val="tx1"/>
            </w14:solidFill>
          </w14:textFill>
        </w:rPr>
        <w:t>域内</w:t>
      </w:r>
      <w:r>
        <w:rPr>
          <w:rFonts w:hint="eastAsia" w:ascii="仿宋_GB2312" w:eastAsia="仿宋_GB2312"/>
          <w:color w:val="000000" w:themeColor="text1"/>
          <w:kern w:val="2"/>
          <w:sz w:val="32"/>
          <w:szCs w:val="32"/>
          <w:highlight w:val="none"/>
          <w:shd w:val="clear" w:color="auto" w:fill="auto"/>
          <w14:textFill>
            <w14:solidFill>
              <w14:schemeClr w14:val="tx1"/>
            </w14:solidFill>
          </w14:textFill>
        </w:rPr>
        <w:t>所有烟草制品（不含电子烟）零售点的设置。</w:t>
      </w:r>
    </w:p>
    <w:p w14:paraId="3126F87C">
      <w:pPr>
        <w:autoSpaceDE w:val="0"/>
        <w:autoSpaceDN w:val="0"/>
        <w:adjustRightInd w:val="0"/>
        <w:spacing w:line="590" w:lineRule="exact"/>
        <w:ind w:firstLine="645"/>
        <w:rPr>
          <w:rFonts w:hint="eastAsia" w:ascii="仿宋_GB2312" w:eastAsia="仿宋_GB2312"/>
          <w:color w:val="000000" w:themeColor="text1"/>
          <w:sz w:val="32"/>
          <w:szCs w:val="32"/>
          <w:highlight w:val="none"/>
          <w:shd w:val="clear" w:color="auto" w:fill="auto"/>
          <w:lang w:val="zh-CN"/>
          <w14:textFill>
            <w14:solidFill>
              <w14:schemeClr w14:val="tx1"/>
            </w14:solidFill>
          </w14:textFill>
        </w:rPr>
      </w:pPr>
      <w:r>
        <w:rPr>
          <w:rFonts w:hint="eastAsia" w:ascii="黑体" w:hAnsi="黑体" w:eastAsia="黑体"/>
          <w:bCs/>
          <w:color w:val="000000" w:themeColor="text1"/>
          <w:sz w:val="32"/>
          <w:szCs w:val="32"/>
          <w:highlight w:val="none"/>
          <w:shd w:val="clear" w:color="auto" w:fill="auto"/>
          <w14:textFill>
            <w14:solidFill>
              <w14:schemeClr w14:val="tx1"/>
            </w14:solidFill>
          </w14:textFill>
        </w:rPr>
        <w:t>第四条</w:t>
      </w:r>
      <w:r>
        <w:rPr>
          <w:rFonts w:hint="eastAsia" w:ascii="黑体" w:hAnsi="黑体" w:eastAsia="黑体" w:cs="黑体"/>
          <w:color w:val="000000" w:themeColor="text1"/>
          <w:sz w:val="32"/>
          <w:szCs w:val="32"/>
          <w:highlight w:val="none"/>
          <w:shd w:val="clear" w:color="auto" w:fill="auto"/>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本规定所称“烟草制品零售点”（以下简称“零售点”），是指依法取得烟草专卖零售许可证（经营范围为卷烟本店零售、雪茄烟本店零售，不含电子烟本店零售，下同）的公民、法人或其他组织开展烟草制品零售业务的经营场所。</w:t>
      </w:r>
    </w:p>
    <w:p w14:paraId="64DAD37F">
      <w:pPr>
        <w:spacing w:line="590" w:lineRule="exact"/>
        <w:ind w:firstLine="640" w:firstLineChars="200"/>
        <w:jc w:val="center"/>
        <w:rPr>
          <w:rFonts w:hint="eastAsia" w:ascii="黑体" w:hAnsi="黑体" w:eastAsia="黑体"/>
          <w:color w:val="000000" w:themeColor="text1"/>
          <w:sz w:val="32"/>
          <w:szCs w:val="32"/>
          <w:highlight w:val="none"/>
          <w:shd w:val="clear" w:color="auto" w:fill="auto"/>
          <w14:textFill>
            <w14:solidFill>
              <w14:schemeClr w14:val="tx1"/>
            </w14:solidFill>
          </w14:textFill>
        </w:rPr>
      </w:pPr>
      <w:r>
        <w:rPr>
          <w:rFonts w:hint="eastAsia" w:ascii="黑体" w:hAnsi="黑体" w:eastAsia="黑体"/>
          <w:color w:val="000000" w:themeColor="text1"/>
          <w:sz w:val="32"/>
          <w:szCs w:val="32"/>
          <w:highlight w:val="none"/>
          <w:shd w:val="clear" w:color="auto" w:fill="auto"/>
          <w14:textFill>
            <w14:solidFill>
              <w14:schemeClr w14:val="tx1"/>
            </w14:solidFill>
          </w14:textFill>
        </w:rPr>
        <w:t>第二章  合理布局标准</w:t>
      </w:r>
    </w:p>
    <w:p w14:paraId="090D2BF5">
      <w:pPr>
        <w:ind w:firstLine="640" w:firstLineChars="200"/>
        <w:jc w:val="left"/>
        <w:rPr>
          <w:rFonts w:hint="eastAsia" w:ascii="仿宋_GB2312" w:eastAsia="仿宋_GB2312"/>
          <w:bCs/>
          <w:color w:val="000000" w:themeColor="text1"/>
          <w:sz w:val="32"/>
          <w:szCs w:val="32"/>
          <w:highlight w:val="none"/>
          <w:shd w:val="clear" w:color="auto" w:fill="auto"/>
          <w14:textFill>
            <w14:solidFill>
              <w14:schemeClr w14:val="tx1"/>
            </w14:solidFill>
          </w14:textFill>
        </w:rPr>
      </w:pPr>
      <w:r>
        <w:rPr>
          <w:rFonts w:hint="eastAsia" w:ascii="黑体" w:hAnsi="黑体" w:eastAsia="黑体"/>
          <w:bCs/>
          <w:color w:val="000000" w:themeColor="text1"/>
          <w:sz w:val="32"/>
          <w:szCs w:val="32"/>
          <w:highlight w:val="none"/>
          <w:shd w:val="clear" w:color="auto" w:fill="auto"/>
          <w14:textFill>
            <w14:solidFill>
              <w14:schemeClr w14:val="tx1"/>
            </w14:solidFill>
          </w14:textFill>
        </w:rPr>
        <w:t>第五条</w:t>
      </w:r>
      <w:r>
        <w:rPr>
          <w:rFonts w:hint="eastAsia" w:ascii="仿宋_GB2312" w:eastAsia="仿宋_GB2312"/>
          <w:bCs/>
          <w:color w:val="000000" w:themeColor="text1"/>
          <w:sz w:val="32"/>
          <w:szCs w:val="32"/>
          <w:highlight w:val="none"/>
          <w:shd w:val="clear" w:color="auto" w:fill="auto"/>
          <w14:textFill>
            <w14:solidFill>
              <w14:schemeClr w14:val="tx1"/>
            </w14:solidFill>
          </w14:textFill>
        </w:rPr>
        <w:t xml:space="preserve">  合理布局最小市场单元实行“总量+距离”的布局方式。</w:t>
      </w:r>
    </w:p>
    <w:p w14:paraId="0B1748CC">
      <w:pPr>
        <w:ind w:firstLine="640" w:firstLineChars="200"/>
        <w:jc w:val="left"/>
        <w:rPr>
          <w:rFonts w:hint="eastAsia" w:eastAsia="仿宋_GB2312"/>
          <w:color w:val="auto"/>
          <w:sz w:val="32"/>
          <w:szCs w:val="32"/>
          <w:highlight w:val="none"/>
          <w:shd w:val="clear" w:color="auto" w:fill="auto"/>
        </w:rPr>
      </w:pPr>
      <w:r>
        <w:rPr>
          <w:rFonts w:hint="eastAsia" w:ascii="黑体" w:hAnsi="黑体" w:eastAsia="黑体"/>
          <w:bCs/>
          <w:color w:val="000000" w:themeColor="text1"/>
          <w:sz w:val="32"/>
          <w:szCs w:val="32"/>
          <w:highlight w:val="none"/>
          <w:shd w:val="clear" w:color="auto" w:fill="auto"/>
          <w14:textFill>
            <w14:solidFill>
              <w14:schemeClr w14:val="tx1"/>
            </w14:solidFill>
          </w14:textFill>
        </w:rPr>
        <w:t>第六条</w:t>
      </w:r>
      <w:r>
        <w:rPr>
          <w:rFonts w:hint="eastAsia" w:ascii="黑体" w:hAnsi="黑体" w:eastAsia="黑体" w:cs="黑体"/>
          <w:color w:val="000000" w:themeColor="text1"/>
          <w:sz w:val="32"/>
          <w:szCs w:val="32"/>
          <w:highlight w:val="none"/>
          <w:shd w:val="clear" w:color="auto" w:fill="auto"/>
          <w14:textFill>
            <w14:solidFill>
              <w14:schemeClr w14:val="tx1"/>
            </w14:solidFill>
          </w14:textFill>
        </w:rPr>
        <w:t xml:space="preserve">  </w:t>
      </w:r>
      <w:r>
        <w:rPr>
          <w:rFonts w:hint="eastAsia" w:eastAsia="仿宋_GB2312"/>
          <w:color w:val="000000" w:themeColor="text1"/>
          <w:sz w:val="32"/>
          <w:szCs w:val="32"/>
          <w:highlight w:val="none"/>
          <w:shd w:val="clear" w:color="auto" w:fill="auto"/>
          <w14:textFill>
            <w14:solidFill>
              <w14:schemeClr w14:val="tx1"/>
            </w14:solidFill>
          </w14:textFill>
        </w:rPr>
        <w:t>根据辖区内的人口数量、经济发展水平、消费能力及居民居住区域的特点，结合城乡建设规划、市场类型等因素，将辖区的社区、行政村划分为一类、二类、独立市场三种区域类型，以此确定不同最小市场单元内零售点指</w:t>
      </w:r>
      <w:r>
        <w:rPr>
          <w:rFonts w:hint="eastAsia" w:eastAsia="仿宋_GB2312"/>
          <w:color w:val="auto"/>
          <w:sz w:val="32"/>
          <w:szCs w:val="32"/>
          <w:highlight w:val="none"/>
          <w:shd w:val="clear" w:color="auto" w:fill="auto"/>
        </w:rPr>
        <w:t>导数测算标准。区域类型划分标准如下：</w:t>
      </w:r>
    </w:p>
    <w:p w14:paraId="790AE715">
      <w:pPr>
        <w:ind w:firstLine="640" w:firstLineChars="200"/>
        <w:jc w:val="left"/>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（一）一类区域：指位于城区、乡镇（乡镇政治、经济、文化中心）的街道、社区等；</w:t>
      </w:r>
    </w:p>
    <w:p w14:paraId="36DC5B8D">
      <w:pPr>
        <w:ind w:firstLine="640" w:firstLineChars="200"/>
        <w:jc w:val="left"/>
        <w:rPr>
          <w:rFonts w:eastAsia="仿宋_GB2312"/>
          <w:color w:val="auto"/>
          <w:sz w:val="32"/>
          <w:szCs w:val="32"/>
          <w:highlight w:val="none"/>
          <w:shd w:val="clear" w:color="auto" w:fill="auto"/>
        </w:rPr>
      </w:pPr>
      <w:r>
        <w:rPr>
          <w:rFonts w:hint="eastAsia" w:eastAsia="仿宋_GB2312"/>
          <w:color w:val="auto"/>
          <w:sz w:val="32"/>
          <w:szCs w:val="32"/>
          <w:highlight w:val="none"/>
          <w:shd w:val="clear" w:color="auto" w:fill="auto"/>
        </w:rPr>
        <w:t>（二）二类区域：指位于乡镇的行政村</w:t>
      </w:r>
      <w:r>
        <w:rPr>
          <w:rFonts w:hint="eastAsia" w:ascii="仿宋_GB2312" w:hAnsi="仿宋_GB2312" w:eastAsia="仿宋_GB2312" w:cs="仿宋_GB2312"/>
          <w:color w:val="auto"/>
          <w:sz w:val="32"/>
          <w:szCs w:val="32"/>
          <w:highlight w:val="none"/>
          <w:shd w:val="clear" w:color="auto" w:fill="auto"/>
        </w:rPr>
        <w:t>（</w:t>
      </w:r>
      <w:r>
        <w:rPr>
          <w:rFonts w:hint="eastAsia" w:eastAsia="仿宋_GB2312"/>
          <w:color w:val="auto"/>
          <w:sz w:val="32"/>
          <w:szCs w:val="32"/>
          <w:highlight w:val="none"/>
          <w:shd w:val="clear" w:color="auto" w:fill="auto"/>
        </w:rPr>
        <w:t>包含行政村所辖全部区域</w:t>
      </w:r>
      <w:r>
        <w:rPr>
          <w:rFonts w:hint="eastAsia" w:ascii="仿宋_GB2312" w:hAnsi="仿宋_GB2312" w:eastAsia="仿宋_GB2312" w:cs="仿宋_GB2312"/>
          <w:color w:val="auto"/>
          <w:sz w:val="32"/>
          <w:szCs w:val="32"/>
          <w:highlight w:val="none"/>
          <w:shd w:val="clear" w:color="auto" w:fill="auto"/>
        </w:rPr>
        <w:t>）</w:t>
      </w:r>
      <w:r>
        <w:rPr>
          <w:rFonts w:hint="eastAsia" w:eastAsia="仿宋_GB2312"/>
          <w:color w:val="auto"/>
          <w:sz w:val="32"/>
          <w:szCs w:val="32"/>
          <w:highlight w:val="none"/>
          <w:shd w:val="clear" w:color="auto" w:fill="auto"/>
        </w:rPr>
        <w:t>；</w:t>
      </w:r>
    </w:p>
    <w:p w14:paraId="491B6D11">
      <w:pPr>
        <w:ind w:firstLine="640" w:firstLineChars="200"/>
        <w:jc w:val="left"/>
        <w:rPr>
          <w:rFonts w:hint="eastAsia" w:eastAsia="仿宋_GB2312"/>
          <w:color w:val="auto"/>
          <w:sz w:val="32"/>
          <w:szCs w:val="32"/>
          <w:highlight w:val="none"/>
          <w:u w:val="none"/>
          <w:shd w:val="clear" w:color="auto" w:fill="auto"/>
        </w:rPr>
      </w:pPr>
      <w:r>
        <w:rPr>
          <w:rFonts w:hint="eastAsia" w:eastAsia="仿宋_GB2312"/>
          <w:color w:val="auto"/>
          <w:sz w:val="32"/>
          <w:szCs w:val="32"/>
          <w:highlight w:val="none"/>
          <w:u w:val="none"/>
          <w:shd w:val="clear" w:color="auto" w:fill="auto"/>
        </w:rPr>
        <w:t>（三）独立市场区域：指按功能分类将相对封闭管理的区域划分为独立市场。如: 封闭管理的居民小区、统一管理的集贸市场、商场、候车厅、景区以及军队、大学等内部的生活区域。</w:t>
      </w:r>
    </w:p>
    <w:p w14:paraId="4034CC79">
      <w:pPr>
        <w:spacing w:line="590" w:lineRule="exact"/>
        <w:ind w:firstLine="640" w:firstLineChars="200"/>
        <w:rPr>
          <w:rFonts w:hint="eastAsia" w:eastAsia="仿宋_GB2312" w:cs="仿宋_GB2312"/>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第七条</w:t>
      </w:r>
      <w:r>
        <w:rPr>
          <w:rFonts w:hint="eastAsia" w:ascii="仿宋_GB2312" w:hAnsi="宋体" w:eastAsia="仿宋_GB2312"/>
          <w:color w:val="auto"/>
          <w:sz w:val="32"/>
          <w:szCs w:val="32"/>
          <w:highlight w:val="none"/>
          <w:shd w:val="clear" w:color="auto" w:fill="auto"/>
        </w:rPr>
        <w:t xml:space="preserve">  </w:t>
      </w:r>
      <w:r>
        <w:rPr>
          <w:rFonts w:hint="eastAsia" w:ascii="仿宋_GB2312" w:hAnsi="宋体" w:eastAsia="仿宋_GB2312"/>
          <w:color w:val="auto"/>
          <w:sz w:val="32"/>
          <w:szCs w:val="32"/>
          <w:highlight w:val="none"/>
          <w:shd w:val="clear" w:color="auto" w:fill="auto"/>
          <w:lang w:eastAsia="zh-CN"/>
        </w:rPr>
        <w:t>集贤县</w:t>
      </w:r>
      <w:r>
        <w:rPr>
          <w:rFonts w:hint="eastAsia" w:ascii="仿宋_GB2312" w:hAnsi="宋体" w:eastAsia="仿宋_GB2312"/>
          <w:color w:val="auto"/>
          <w:sz w:val="32"/>
          <w:szCs w:val="32"/>
          <w:highlight w:val="none"/>
          <w:shd w:val="clear" w:color="auto" w:fill="auto"/>
        </w:rPr>
        <w:t>烟草专卖局</w:t>
      </w:r>
      <w:r>
        <w:rPr>
          <w:rFonts w:hint="eastAsia" w:ascii="仿宋_GB2312" w:eastAsia="仿宋_GB2312" w:cs="仿宋_GB2312"/>
          <w:color w:val="auto"/>
          <w:sz w:val="32"/>
          <w:szCs w:val="32"/>
          <w:highlight w:val="none"/>
          <w:shd w:val="clear" w:color="auto" w:fill="auto"/>
        </w:rPr>
        <w:t>应根据市场动态定期对划分的各最小市场单元零售点指导数进行测算调整，并及时向社会公示。</w:t>
      </w:r>
    </w:p>
    <w:p w14:paraId="3CAC0978">
      <w:pPr>
        <w:spacing w:line="590" w:lineRule="exact"/>
        <w:ind w:firstLine="640" w:firstLineChars="200"/>
        <w:rPr>
          <w:rFonts w:hint="eastAsia" w:ascii="仿宋_GB2312" w:eastAsia="仿宋_GB2312"/>
          <w:color w:val="auto"/>
          <w:kern w:val="0"/>
          <w:sz w:val="32"/>
          <w:szCs w:val="32"/>
          <w:highlight w:val="none"/>
        </w:rPr>
      </w:pPr>
      <w:r>
        <w:rPr>
          <w:rFonts w:hint="eastAsia" w:ascii="黑体" w:hAnsi="黑体" w:eastAsia="黑体" w:cs="仿宋_GB2312"/>
          <w:color w:val="auto"/>
          <w:sz w:val="32"/>
          <w:szCs w:val="32"/>
          <w:highlight w:val="none"/>
          <w:shd w:val="clear" w:color="auto" w:fill="auto"/>
        </w:rPr>
        <w:t>第八条</w:t>
      </w:r>
      <w:r>
        <w:rPr>
          <w:rFonts w:hint="eastAsia" w:ascii="黑体" w:hAnsi="黑体" w:eastAsia="黑体"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最小市场单元零售点数量</w:t>
      </w:r>
      <w:r>
        <w:rPr>
          <w:rFonts w:hint="eastAsia" w:ascii="仿宋_GB2312" w:eastAsia="仿宋_GB2312" w:cs="仿宋_GB2312"/>
          <w:color w:val="auto"/>
          <w:sz w:val="32"/>
          <w:szCs w:val="32"/>
          <w:highlight w:val="none"/>
          <w:shd w:val="clear" w:color="auto" w:fill="auto"/>
        </w:rPr>
        <w:t>以指导数为上限，最</w:t>
      </w:r>
      <w:r>
        <w:rPr>
          <w:rFonts w:hint="eastAsia" w:ascii="仿宋_GB2312" w:hAnsi="仿宋_GB2312" w:eastAsia="仿宋_GB2312" w:cs="仿宋_GB2312"/>
          <w:color w:val="auto"/>
          <w:sz w:val="32"/>
          <w:szCs w:val="32"/>
          <w:highlight w:val="none"/>
          <w:shd w:val="clear" w:color="auto" w:fill="auto"/>
        </w:rPr>
        <w:t>小市场单元零售点数</w:t>
      </w:r>
      <w:r>
        <w:rPr>
          <w:rFonts w:hint="eastAsia" w:ascii="仿宋_GB2312" w:eastAsia="仿宋_GB2312"/>
          <w:color w:val="auto"/>
          <w:kern w:val="0"/>
          <w:sz w:val="32"/>
          <w:szCs w:val="32"/>
          <w:highlight w:val="none"/>
          <w:shd w:val="clear" w:color="auto" w:fill="auto"/>
        </w:rPr>
        <w:t>量高于本单元规划指导数的，把该区域</w:t>
      </w:r>
      <w:r>
        <w:rPr>
          <w:rFonts w:hint="eastAsia" w:ascii="仿宋_GB2312" w:eastAsia="仿宋_GB2312"/>
          <w:color w:val="auto"/>
          <w:kern w:val="0"/>
          <w:sz w:val="32"/>
          <w:szCs w:val="32"/>
          <w:highlight w:val="none"/>
        </w:rPr>
        <w:t>设为饱和区</w:t>
      </w:r>
      <w:r>
        <w:rPr>
          <w:rFonts w:hint="eastAsia" w:ascii="仿宋_GB2312" w:eastAsia="仿宋_GB2312"/>
          <w:color w:val="auto"/>
          <w:sz w:val="32"/>
          <w:szCs w:val="32"/>
          <w:highlight w:val="none"/>
        </w:rPr>
        <w:t>，暂不办理新增烟草专卖零售许可证，在与指导数上限等同后，按照该单元退出一户零售点，办理进入一户零售点的原则进行办理（以下简称“退一进一”原则）</w:t>
      </w:r>
      <w:r>
        <w:rPr>
          <w:rFonts w:hint="eastAsia" w:ascii="仿宋_GB2312" w:eastAsia="仿宋_GB2312"/>
          <w:color w:val="auto"/>
          <w:kern w:val="0"/>
          <w:sz w:val="32"/>
          <w:szCs w:val="32"/>
          <w:highlight w:val="none"/>
        </w:rPr>
        <w:t>；</w:t>
      </w:r>
      <w:r>
        <w:rPr>
          <w:rFonts w:hint="eastAsia" w:ascii="仿宋_GB2312" w:eastAsia="仿宋_GB2312" w:cs="仿宋_GB2312"/>
          <w:color w:val="auto"/>
          <w:sz w:val="32"/>
          <w:szCs w:val="32"/>
          <w:highlight w:val="none"/>
        </w:rPr>
        <w:t>最</w:t>
      </w:r>
      <w:r>
        <w:rPr>
          <w:rFonts w:hint="eastAsia" w:ascii="仿宋_GB2312" w:hAnsi="仿宋_GB2312" w:eastAsia="仿宋_GB2312" w:cs="仿宋_GB2312"/>
          <w:color w:val="auto"/>
          <w:sz w:val="32"/>
          <w:szCs w:val="32"/>
          <w:highlight w:val="none"/>
        </w:rPr>
        <w:t>小市场单元零售点数</w:t>
      </w:r>
      <w:r>
        <w:rPr>
          <w:rFonts w:hint="eastAsia" w:ascii="仿宋_GB2312" w:eastAsia="仿宋_GB2312"/>
          <w:color w:val="auto"/>
          <w:kern w:val="0"/>
          <w:sz w:val="32"/>
          <w:szCs w:val="32"/>
          <w:highlight w:val="none"/>
        </w:rPr>
        <w:t>量与本单元规划指导数持平的，把该区域设为平衡区，</w:t>
      </w:r>
      <w:r>
        <w:rPr>
          <w:rFonts w:hint="eastAsia" w:ascii="仿宋_GB2312" w:eastAsia="仿宋_GB2312"/>
          <w:color w:val="auto"/>
          <w:sz w:val="32"/>
          <w:szCs w:val="32"/>
          <w:highlight w:val="none"/>
        </w:rPr>
        <w:t>暂不办理新增烟草专卖零售许可证，按照“退一进一”原则办理</w:t>
      </w:r>
      <w:r>
        <w:rPr>
          <w:rFonts w:hint="eastAsia" w:ascii="仿宋_GB2312" w:eastAsia="仿宋_GB2312"/>
          <w:color w:val="auto"/>
          <w:kern w:val="0"/>
          <w:sz w:val="32"/>
          <w:szCs w:val="32"/>
          <w:highlight w:val="none"/>
        </w:rPr>
        <w:t>；</w:t>
      </w:r>
      <w:r>
        <w:rPr>
          <w:rFonts w:hint="eastAsia" w:ascii="仿宋_GB2312" w:eastAsia="仿宋_GB2312" w:cs="仿宋_GB2312"/>
          <w:color w:val="auto"/>
          <w:sz w:val="32"/>
          <w:szCs w:val="32"/>
          <w:highlight w:val="none"/>
        </w:rPr>
        <w:t>最</w:t>
      </w:r>
      <w:r>
        <w:rPr>
          <w:rFonts w:hint="eastAsia" w:ascii="仿宋_GB2312" w:hAnsi="仿宋_GB2312" w:eastAsia="仿宋_GB2312" w:cs="仿宋_GB2312"/>
          <w:color w:val="auto"/>
          <w:sz w:val="32"/>
          <w:szCs w:val="32"/>
          <w:highlight w:val="none"/>
        </w:rPr>
        <w:t>小市场单元零售点数</w:t>
      </w:r>
      <w:r>
        <w:rPr>
          <w:rFonts w:hint="eastAsia" w:ascii="仿宋_GB2312" w:eastAsia="仿宋_GB2312"/>
          <w:color w:val="auto"/>
          <w:kern w:val="0"/>
          <w:sz w:val="32"/>
          <w:szCs w:val="32"/>
          <w:highlight w:val="none"/>
        </w:rPr>
        <w:t>量低于本单元规划指导数的，把该区域设为成长区，</w:t>
      </w:r>
      <w:r>
        <w:rPr>
          <w:rFonts w:hint="eastAsia" w:ascii="仿宋_GB2312" w:eastAsia="仿宋_GB2312"/>
          <w:color w:val="auto"/>
          <w:sz w:val="32"/>
          <w:szCs w:val="32"/>
          <w:highlight w:val="none"/>
        </w:rPr>
        <w:t>可以办理烟草专卖零售许可证</w:t>
      </w:r>
      <w:r>
        <w:rPr>
          <w:rFonts w:hint="eastAsia" w:ascii="仿宋_GB2312" w:eastAsia="仿宋_GB2312"/>
          <w:color w:val="auto"/>
          <w:kern w:val="0"/>
          <w:sz w:val="32"/>
          <w:szCs w:val="32"/>
          <w:highlight w:val="none"/>
        </w:rPr>
        <w:t>。</w:t>
      </w:r>
    </w:p>
    <w:p w14:paraId="664D83E8">
      <w:pPr>
        <w:spacing w:line="590" w:lineRule="exact"/>
        <w:ind w:firstLine="640" w:firstLineChars="200"/>
        <w:rPr>
          <w:rFonts w:hint="eastAsia" w:ascii="仿宋_GB2312" w:eastAsia="仿宋_GB2312"/>
          <w:color w:val="auto"/>
          <w:kern w:val="0"/>
          <w:sz w:val="32"/>
          <w:szCs w:val="32"/>
          <w:highlight w:val="none"/>
        </w:rPr>
      </w:pPr>
      <w:r>
        <w:rPr>
          <w:rFonts w:hint="eastAsia" w:ascii="黑体" w:hAnsi="黑体" w:eastAsia="黑体"/>
          <w:color w:val="auto"/>
          <w:kern w:val="0"/>
          <w:sz w:val="32"/>
          <w:szCs w:val="32"/>
          <w:highlight w:val="none"/>
        </w:rPr>
        <w:t>第九条</w:t>
      </w:r>
      <w:r>
        <w:rPr>
          <w:rFonts w:hint="eastAsia" w:eastAsia="仿宋_GB2312"/>
          <w:color w:val="auto"/>
          <w:kern w:val="0"/>
          <w:sz w:val="32"/>
          <w:szCs w:val="32"/>
          <w:highlight w:val="none"/>
        </w:rPr>
        <w:t xml:space="preserve">  </w:t>
      </w:r>
      <w:r>
        <w:rPr>
          <w:rFonts w:hint="eastAsia" w:ascii="仿宋_GB2312" w:eastAsia="仿宋_GB2312"/>
          <w:color w:val="auto"/>
          <w:kern w:val="0"/>
          <w:sz w:val="32"/>
          <w:szCs w:val="32"/>
          <w:highlight w:val="none"/>
        </w:rPr>
        <w:t>新办零售点在满足最小市场单元规划指导数量的前提下，要同时满足与最近零售点之间最短</w:t>
      </w:r>
      <w:r>
        <w:rPr>
          <w:rFonts w:hint="eastAsia" w:ascii="仿宋_GB2312" w:eastAsia="仿宋_GB2312"/>
          <w:color w:val="auto"/>
          <w:kern w:val="0"/>
          <w:sz w:val="32"/>
          <w:szCs w:val="32"/>
          <w:highlight w:val="none"/>
          <w:lang w:eastAsia="zh-CN"/>
        </w:rPr>
        <w:t>间隔距离</w:t>
      </w:r>
      <w:r>
        <w:rPr>
          <w:rFonts w:hint="eastAsia" w:ascii="仿宋_GB2312" w:eastAsia="仿宋_GB2312"/>
          <w:color w:val="auto"/>
          <w:kern w:val="0"/>
          <w:sz w:val="32"/>
          <w:szCs w:val="32"/>
          <w:highlight w:val="none"/>
        </w:rPr>
        <w:t>在50米以上的要求。</w:t>
      </w:r>
    </w:p>
    <w:p w14:paraId="49A6F23E">
      <w:pP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第十条</w:t>
      </w:r>
      <w:r>
        <w:rPr>
          <w:rFonts w:hint="eastAsia" w:ascii="仿宋_GB2312" w:hAnsi="仿宋_GB2312" w:eastAsia="仿宋_GB2312" w:cs="仿宋_GB2312"/>
          <w:color w:val="auto"/>
          <w:sz w:val="32"/>
          <w:szCs w:val="32"/>
          <w:highlight w:val="none"/>
        </w:rPr>
        <w:t xml:space="preserve">  根据最小市场单元规划指导数标准，按受理时间先后顺序审核发放烟草专卖零售许可证。</w:t>
      </w:r>
    </w:p>
    <w:p w14:paraId="0A59CCA2">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对符合申请烟草专卖零售许可证的申请人，因申请许可证区域内</w:t>
      </w:r>
      <w:r>
        <w:rPr>
          <w:rFonts w:hint="eastAsia" w:ascii="仿宋_GB2312" w:eastAsia="仿宋_GB2312"/>
          <w:color w:val="auto"/>
          <w:sz w:val="32"/>
          <w:szCs w:val="32"/>
          <w:highlight w:val="none"/>
        </w:rPr>
        <w:t>零售点</w:t>
      </w:r>
      <w:r>
        <w:rPr>
          <w:rFonts w:hint="eastAsia" w:ascii="仿宋_GB2312" w:hAnsi="仿宋_GB2312" w:eastAsia="仿宋_GB2312" w:cs="仿宋_GB2312"/>
          <w:color w:val="auto"/>
          <w:sz w:val="32"/>
          <w:szCs w:val="32"/>
          <w:highlight w:val="none"/>
        </w:rPr>
        <w:t>数量达到上限，无法办理烟草专卖零售许可证的，按申请受理时间的先后顺序进行排队轮候，待符合“退一进一”原则后依次办理许可证，如果轮候在先的放弃申请，可以</w:t>
      </w:r>
      <w:r>
        <w:rPr>
          <w:rFonts w:hint="eastAsia" w:ascii="仿宋_GB2312" w:hAnsi="仿宋_GB2312" w:eastAsia="仿宋_GB2312" w:cs="仿宋_GB2312"/>
          <w:color w:val="auto"/>
          <w:sz w:val="32"/>
          <w:szCs w:val="32"/>
          <w:highlight w:val="none"/>
          <w:lang w:eastAsia="zh-CN"/>
        </w:rPr>
        <w:t>依次</w:t>
      </w:r>
      <w:r>
        <w:rPr>
          <w:rFonts w:hint="eastAsia" w:ascii="仿宋_GB2312" w:hAnsi="仿宋_GB2312" w:eastAsia="仿宋_GB2312" w:cs="仿宋_GB2312"/>
          <w:color w:val="auto"/>
          <w:sz w:val="32"/>
          <w:szCs w:val="32"/>
          <w:highlight w:val="none"/>
        </w:rPr>
        <w:t>顺延。</w:t>
      </w:r>
    </w:p>
    <w:p w14:paraId="69B577F0">
      <w:pPr>
        <w:widowControl/>
        <w:spacing w:before="86" w:line="257" w:lineRule="atLeast"/>
        <w:ind w:firstLine="640"/>
        <w:jc w:val="left"/>
        <w:rPr>
          <w:rFonts w:hint="eastAsia" w:ascii="仿宋_GB2312" w:eastAsia="仿宋_GB2312"/>
          <w:color w:val="auto"/>
          <w:sz w:val="32"/>
          <w:szCs w:val="32"/>
          <w:highlight w:val="none"/>
        </w:rPr>
      </w:pPr>
      <w:r>
        <w:rPr>
          <w:rFonts w:hint="eastAsia" w:ascii="黑体" w:hAnsi="黑体" w:eastAsia="黑体"/>
          <w:bCs/>
          <w:color w:val="auto"/>
          <w:sz w:val="32"/>
          <w:szCs w:val="32"/>
          <w:highlight w:val="none"/>
        </w:rPr>
        <w:t>第十一条</w:t>
      </w:r>
      <w:r>
        <w:rPr>
          <w:rFonts w:hint="eastAsia" w:ascii="仿宋_GB2312" w:eastAsia="仿宋_GB2312"/>
          <w:bCs/>
          <w:color w:val="auto"/>
          <w:sz w:val="32"/>
          <w:szCs w:val="32"/>
          <w:highlight w:val="none"/>
        </w:rPr>
        <w:t xml:space="preserve">  </w:t>
      </w:r>
      <w:r>
        <w:rPr>
          <w:rFonts w:hint="eastAsia" w:ascii="仿宋_GB2312" w:eastAsia="仿宋_GB2312"/>
          <w:bCs/>
          <w:color w:val="auto"/>
          <w:sz w:val="32"/>
          <w:szCs w:val="32"/>
          <w:highlight w:val="none"/>
          <w:lang w:eastAsia="zh-CN"/>
        </w:rPr>
        <w:t>集贤县</w:t>
      </w:r>
      <w:r>
        <w:rPr>
          <w:rFonts w:hint="eastAsia" w:ascii="仿宋_GB2312" w:eastAsia="仿宋_GB2312"/>
          <w:bCs/>
          <w:color w:val="auto"/>
          <w:sz w:val="32"/>
          <w:szCs w:val="32"/>
          <w:highlight w:val="none"/>
        </w:rPr>
        <w:t>烟草专卖局</w:t>
      </w:r>
      <w:r>
        <w:rPr>
          <w:rFonts w:hint="eastAsia" w:ascii="仿宋_GB2312" w:eastAsia="仿宋_GB2312"/>
          <w:color w:val="auto"/>
          <w:sz w:val="32"/>
          <w:szCs w:val="32"/>
          <w:highlight w:val="none"/>
        </w:rPr>
        <w:t>定期通过</w:t>
      </w:r>
      <w:r>
        <w:rPr>
          <w:rFonts w:hint="eastAsia" w:ascii="仿宋_GB2312" w:eastAsia="仿宋_GB2312" w:cs="仿宋_GB2312"/>
          <w:color w:val="auto"/>
          <w:sz w:val="32"/>
          <w:szCs w:val="32"/>
          <w:highlight w:val="none"/>
          <w:lang w:eastAsia="zh-CN"/>
        </w:rPr>
        <w:t>门户网站</w:t>
      </w:r>
      <w:r>
        <w:rPr>
          <w:rFonts w:hint="eastAsia" w:ascii="仿宋_GB2312" w:eastAsia="仿宋_GB2312" w:cs="仿宋_GB2312"/>
          <w:color w:val="auto"/>
          <w:sz w:val="32"/>
          <w:szCs w:val="32"/>
          <w:highlight w:val="none"/>
        </w:rPr>
        <w:t>、</w:t>
      </w:r>
      <w:r>
        <w:rPr>
          <w:rFonts w:hint="eastAsia" w:ascii="仿宋_GB2312" w:eastAsia="仿宋_GB2312"/>
          <w:color w:val="auto"/>
          <w:sz w:val="32"/>
          <w:szCs w:val="32"/>
          <w:highlight w:val="none"/>
        </w:rPr>
        <w:t>微信</w:t>
      </w:r>
      <w:r>
        <w:rPr>
          <w:rFonts w:hint="eastAsia" w:ascii="仿宋_GB2312" w:eastAsia="仿宋_GB2312"/>
          <w:color w:val="auto"/>
          <w:sz w:val="32"/>
          <w:szCs w:val="32"/>
          <w:highlight w:val="none"/>
          <w:lang w:eastAsia="zh-CN"/>
        </w:rPr>
        <w:t>小程序</w:t>
      </w:r>
      <w:r>
        <w:rPr>
          <w:rFonts w:hint="eastAsia" w:ascii="仿宋_GB2312" w:eastAsia="仿宋_GB2312" w:cs="仿宋_GB2312"/>
          <w:color w:val="auto"/>
          <w:sz w:val="32"/>
          <w:szCs w:val="32"/>
          <w:highlight w:val="none"/>
        </w:rPr>
        <w:t>或行政许可办理窗口等方式</w:t>
      </w:r>
      <w:r>
        <w:rPr>
          <w:rFonts w:hint="eastAsia" w:ascii="仿宋_GB2312" w:eastAsia="仿宋_GB2312"/>
          <w:color w:val="auto"/>
          <w:sz w:val="32"/>
          <w:szCs w:val="32"/>
          <w:highlight w:val="none"/>
        </w:rPr>
        <w:t>对外发布公示</w:t>
      </w:r>
      <w:r>
        <w:rPr>
          <w:rFonts w:hint="eastAsia" w:ascii="仿宋_GB2312" w:eastAsia="仿宋_GB2312"/>
          <w:bCs/>
          <w:color w:val="auto"/>
          <w:sz w:val="32"/>
          <w:szCs w:val="32"/>
          <w:highlight w:val="none"/>
        </w:rPr>
        <w:t>最小市场单元零售点规划指导数量、现存零售户数量及申请人排队轮候数量等情况</w:t>
      </w:r>
      <w:r>
        <w:rPr>
          <w:rFonts w:hint="eastAsia" w:ascii="仿宋_GB2312" w:eastAsia="仿宋_GB2312"/>
          <w:color w:val="auto"/>
          <w:sz w:val="32"/>
          <w:szCs w:val="32"/>
          <w:highlight w:val="none"/>
        </w:rPr>
        <w:t>。</w:t>
      </w:r>
    </w:p>
    <w:p w14:paraId="766CFCC2">
      <w:pPr>
        <w:widowControl/>
        <w:spacing w:before="86" w:line="257" w:lineRule="atLeast"/>
        <w:ind w:firstLine="640"/>
        <w:jc w:val="left"/>
        <w:rPr>
          <w:rFonts w:hint="eastAsia" w:ascii="仿宋_GB2312" w:eastAsia="仿宋_GB2312"/>
          <w:bCs/>
          <w:color w:val="auto"/>
          <w:sz w:val="32"/>
          <w:szCs w:val="32"/>
          <w:highlight w:val="none"/>
        </w:rPr>
      </w:pPr>
      <w:r>
        <w:rPr>
          <w:rFonts w:hint="eastAsia" w:ascii="黑体" w:hAnsi="黑体" w:eastAsia="黑体"/>
          <w:color w:val="auto"/>
          <w:kern w:val="0"/>
          <w:sz w:val="32"/>
          <w:szCs w:val="32"/>
          <w:highlight w:val="none"/>
        </w:rPr>
        <w:t>第十二条</w:t>
      </w:r>
      <w:r>
        <w:rPr>
          <w:rFonts w:hint="eastAsia" w:eastAsia="仿宋_GB2312"/>
          <w:color w:val="auto"/>
          <w:kern w:val="0"/>
          <w:sz w:val="32"/>
          <w:szCs w:val="32"/>
          <w:highlight w:val="none"/>
        </w:rPr>
        <w:t xml:space="preserve"> </w:t>
      </w:r>
      <w:r>
        <w:rPr>
          <w:rFonts w:hint="eastAsia" w:ascii="仿宋_GB2312" w:eastAsia="仿宋_GB2312"/>
          <w:bCs/>
          <w:color w:val="auto"/>
          <w:sz w:val="32"/>
          <w:szCs w:val="32"/>
          <w:highlight w:val="none"/>
        </w:rPr>
        <w:t xml:space="preserve"> 独立市场单元在管理方允许并符合消防安全的情况下，按照功能分类设置该区域零售点规划指导数及</w:t>
      </w:r>
      <w:r>
        <w:rPr>
          <w:rFonts w:hint="eastAsia" w:ascii="仿宋_GB2312" w:eastAsia="仿宋_GB2312"/>
          <w:bCs/>
          <w:color w:val="auto"/>
          <w:sz w:val="32"/>
          <w:szCs w:val="32"/>
          <w:highlight w:val="none"/>
          <w:lang w:eastAsia="zh-CN"/>
        </w:rPr>
        <w:t>间隔距离</w:t>
      </w:r>
      <w:r>
        <w:rPr>
          <w:rFonts w:hint="eastAsia" w:ascii="仿宋_GB2312" w:eastAsia="仿宋_GB2312"/>
          <w:bCs/>
          <w:color w:val="auto"/>
          <w:sz w:val="32"/>
          <w:szCs w:val="32"/>
          <w:highlight w:val="none"/>
        </w:rPr>
        <w:t>要求（</w:t>
      </w:r>
      <w:r>
        <w:rPr>
          <w:rFonts w:hint="eastAsia" w:ascii="仿宋_GB2312" w:eastAsia="仿宋_GB2312"/>
          <w:bCs/>
          <w:color w:val="auto"/>
          <w:sz w:val="32"/>
          <w:szCs w:val="32"/>
          <w:highlight w:val="none"/>
          <w:lang w:eastAsia="zh-CN"/>
        </w:rPr>
        <w:t>间隔距离</w:t>
      </w:r>
      <w:r>
        <w:rPr>
          <w:rFonts w:hint="eastAsia" w:ascii="仿宋_GB2312" w:eastAsia="仿宋_GB2312"/>
          <w:bCs/>
          <w:color w:val="auto"/>
          <w:sz w:val="32"/>
          <w:szCs w:val="32"/>
          <w:highlight w:val="none"/>
        </w:rPr>
        <w:t>按照第九条规定的60%执行），对内设置零售点，独立市场单元内设置零售点标准如下：</w:t>
      </w:r>
    </w:p>
    <w:p w14:paraId="1F349A8F">
      <w:pPr>
        <w:widowControl/>
        <w:spacing w:before="86" w:line="257" w:lineRule="atLeast"/>
        <w:ind w:firstLine="640"/>
        <w:jc w:val="left"/>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（一）实行封闭管理的住宅小区内部，住户在200户以内的可设置1个零售点，每增加200户，可增设1个零售点，但总数不超过10个，邻近两个零售点应设置</w:t>
      </w:r>
      <w:r>
        <w:rPr>
          <w:rFonts w:hint="eastAsia" w:ascii="仿宋_GB2312" w:eastAsia="仿宋_GB2312"/>
          <w:bCs/>
          <w:color w:val="auto"/>
          <w:sz w:val="32"/>
          <w:szCs w:val="32"/>
          <w:highlight w:val="none"/>
          <w:lang w:eastAsia="zh-CN"/>
        </w:rPr>
        <w:t>间隔距离</w:t>
      </w:r>
      <w:r>
        <w:rPr>
          <w:rFonts w:hint="eastAsia" w:ascii="仿宋_GB2312" w:eastAsia="仿宋_GB2312"/>
          <w:bCs/>
          <w:color w:val="auto"/>
          <w:sz w:val="32"/>
          <w:szCs w:val="32"/>
          <w:highlight w:val="none"/>
        </w:rPr>
        <w:t>；</w:t>
      </w:r>
    </w:p>
    <w:p w14:paraId="653A53BA">
      <w:pPr>
        <w:widowControl/>
        <w:spacing w:before="86" w:line="257" w:lineRule="atLeast"/>
        <w:ind w:firstLine="640"/>
        <w:jc w:val="left"/>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二）以集中交易商品为主的相对封闭的综合性（批发）市场、专业市场、贸易市场内部，设置固定商铺数量在50个以内的可设置1个零售点；固定商铺每增加50个可增设1个零售点，但总数不超过5个，邻近两个零售点应设置</w:t>
      </w:r>
      <w:r>
        <w:rPr>
          <w:rFonts w:hint="eastAsia" w:ascii="仿宋_GB2312" w:eastAsia="仿宋_GB2312" w:cs="仿宋_GB2312"/>
          <w:color w:val="auto"/>
          <w:sz w:val="32"/>
          <w:szCs w:val="32"/>
          <w:highlight w:val="none"/>
          <w:lang w:eastAsia="zh-CN"/>
        </w:rPr>
        <w:t>间隔距离</w:t>
      </w:r>
      <w:r>
        <w:rPr>
          <w:rFonts w:hint="eastAsia" w:ascii="仿宋_GB2312" w:eastAsia="仿宋_GB2312" w:cs="仿宋_GB2312"/>
          <w:color w:val="auto"/>
          <w:sz w:val="32"/>
          <w:szCs w:val="32"/>
          <w:highlight w:val="none"/>
        </w:rPr>
        <w:t>；</w:t>
      </w:r>
    </w:p>
    <w:p w14:paraId="05B3EB9C">
      <w:pPr>
        <w:widowControl/>
        <w:spacing w:before="86" w:line="257" w:lineRule="atLeast"/>
        <w:ind w:firstLine="640"/>
        <w:jc w:val="left"/>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（三）以出租柜台为主要经营方式的商场内部，设置固定摊位数量在100个以内的可设置1个零售点，每增加100个固定摊位，可</w:t>
      </w:r>
      <w:r>
        <w:rPr>
          <w:rFonts w:hint="eastAsia" w:ascii="仿宋_GB2312" w:eastAsia="仿宋_GB2312" w:cs="仿宋_GB2312"/>
          <w:color w:val="auto"/>
          <w:sz w:val="32"/>
          <w:szCs w:val="32"/>
          <w:highlight w:val="none"/>
          <w:lang w:eastAsia="zh-CN"/>
        </w:rPr>
        <w:t>增设</w:t>
      </w:r>
      <w:r>
        <w:rPr>
          <w:rFonts w:hint="eastAsia" w:ascii="仿宋_GB2312" w:eastAsia="仿宋_GB2312" w:cs="仿宋_GB2312"/>
          <w:color w:val="auto"/>
          <w:sz w:val="32"/>
          <w:szCs w:val="32"/>
          <w:highlight w:val="none"/>
        </w:rPr>
        <w:t>1个零售点，但总数不超过3个，邻近两个零售点应设置</w:t>
      </w:r>
      <w:r>
        <w:rPr>
          <w:rFonts w:hint="eastAsia" w:ascii="仿宋_GB2312" w:eastAsia="仿宋_GB2312" w:cs="仿宋_GB2312"/>
          <w:color w:val="auto"/>
          <w:sz w:val="32"/>
          <w:szCs w:val="32"/>
          <w:highlight w:val="none"/>
          <w:lang w:eastAsia="zh-CN"/>
        </w:rPr>
        <w:t>间隔距离</w:t>
      </w:r>
      <w:r>
        <w:rPr>
          <w:rFonts w:hint="eastAsia" w:ascii="仿宋_GB2312" w:eastAsia="仿宋_GB2312" w:cs="仿宋_GB2312"/>
          <w:color w:val="auto"/>
          <w:sz w:val="32"/>
          <w:szCs w:val="32"/>
          <w:highlight w:val="none"/>
        </w:rPr>
        <w:t>；</w:t>
      </w:r>
    </w:p>
    <w:p w14:paraId="3D9E4862">
      <w:pPr>
        <w:widowControl/>
        <w:spacing w:before="86" w:line="257" w:lineRule="atLeast"/>
        <w:ind w:firstLine="640"/>
        <w:jc w:val="left"/>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（四）汽车客运站或火车站（含高铁动车站）内部，可设置1个零售点；</w:t>
      </w:r>
    </w:p>
    <w:p w14:paraId="5013FFBE">
      <w:pPr>
        <w:widowControl/>
        <w:spacing w:before="86" w:line="257" w:lineRule="atLeast"/>
        <w:ind w:firstLine="640"/>
        <w:jc w:val="left"/>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（五）独立设置的大学专科以上高等院校内，人员数量在3000人以内的可设置1个零售点，每增加3000人的，可</w:t>
      </w:r>
      <w:r>
        <w:rPr>
          <w:rFonts w:hint="eastAsia" w:ascii="仿宋_GB2312" w:eastAsia="仿宋_GB2312" w:cs="仿宋_GB2312"/>
          <w:color w:val="auto"/>
          <w:sz w:val="32"/>
          <w:szCs w:val="32"/>
          <w:highlight w:val="none"/>
          <w:lang w:eastAsia="zh-CN"/>
        </w:rPr>
        <w:t>增设</w:t>
      </w:r>
      <w:r>
        <w:rPr>
          <w:rFonts w:hint="eastAsia" w:ascii="仿宋_GB2312" w:eastAsia="仿宋_GB2312" w:cs="仿宋_GB2312"/>
          <w:color w:val="auto"/>
          <w:sz w:val="32"/>
          <w:szCs w:val="32"/>
          <w:highlight w:val="none"/>
        </w:rPr>
        <w:t>1个零售点，但总数不超过2个，邻近两个零售点应设置</w:t>
      </w:r>
      <w:r>
        <w:rPr>
          <w:rFonts w:hint="eastAsia" w:ascii="仿宋_GB2312" w:eastAsia="仿宋_GB2312" w:cs="仿宋_GB2312"/>
          <w:color w:val="auto"/>
          <w:sz w:val="32"/>
          <w:szCs w:val="32"/>
          <w:highlight w:val="none"/>
          <w:lang w:eastAsia="zh-CN"/>
        </w:rPr>
        <w:t>间隔距离</w:t>
      </w:r>
      <w:r>
        <w:rPr>
          <w:rFonts w:hint="eastAsia" w:ascii="仿宋_GB2312" w:eastAsia="仿宋_GB2312" w:cs="仿宋_GB2312"/>
          <w:color w:val="auto"/>
          <w:sz w:val="32"/>
          <w:szCs w:val="32"/>
          <w:highlight w:val="none"/>
        </w:rPr>
        <w:t>；</w:t>
      </w:r>
    </w:p>
    <w:p w14:paraId="6119ECAB">
      <w:pPr>
        <w:widowControl/>
        <w:spacing w:before="86" w:line="257" w:lineRule="atLeast"/>
        <w:ind w:firstLine="640"/>
        <w:jc w:val="left"/>
        <w:rPr>
          <w:rFonts w:hint="default"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rPr>
        <w:t>（六）</w:t>
      </w:r>
      <w:r>
        <w:rPr>
          <w:rFonts w:hint="eastAsia" w:ascii="仿宋_GB2312" w:eastAsia="仿宋_GB2312" w:cs="仿宋_GB2312"/>
          <w:color w:val="auto"/>
          <w:sz w:val="32"/>
          <w:szCs w:val="32"/>
          <w:highlight w:val="none"/>
          <w:lang w:val="en-US" w:eastAsia="zh-CN"/>
        </w:rPr>
        <w:t>3A级以上</w:t>
      </w:r>
      <w:r>
        <w:rPr>
          <w:rFonts w:hint="eastAsia" w:ascii="仿宋_GB2312" w:eastAsia="仿宋_GB2312" w:cs="仿宋_GB2312"/>
          <w:color w:val="auto"/>
          <w:sz w:val="32"/>
          <w:szCs w:val="32"/>
          <w:highlight w:val="none"/>
        </w:rPr>
        <w:t>旅游风景区内部，</w:t>
      </w:r>
      <w:r>
        <w:rPr>
          <w:rFonts w:hint="eastAsia" w:ascii="仿宋_GB2312" w:eastAsia="仿宋_GB2312" w:cs="仿宋_GB2312"/>
          <w:color w:val="auto"/>
          <w:sz w:val="32"/>
          <w:szCs w:val="32"/>
          <w:highlight w:val="none"/>
          <w:lang w:eastAsia="zh-CN"/>
        </w:rPr>
        <w:t>可设置</w:t>
      </w:r>
      <w:r>
        <w:rPr>
          <w:rFonts w:hint="eastAsia" w:ascii="仿宋_GB2312" w:eastAsia="仿宋_GB2312" w:cs="仿宋_GB2312"/>
          <w:color w:val="auto"/>
          <w:sz w:val="32"/>
          <w:szCs w:val="32"/>
          <w:highlight w:val="none"/>
          <w:lang w:val="en-US" w:eastAsia="zh-CN"/>
        </w:rPr>
        <w:t>2个零售点；3A级以下</w:t>
      </w:r>
      <w:r>
        <w:rPr>
          <w:rFonts w:hint="eastAsia" w:ascii="仿宋_GB2312" w:eastAsia="仿宋_GB2312" w:cs="仿宋_GB2312"/>
          <w:color w:val="auto"/>
          <w:sz w:val="32"/>
          <w:szCs w:val="32"/>
          <w:highlight w:val="none"/>
        </w:rPr>
        <w:t>旅游风景区内部，</w:t>
      </w:r>
      <w:r>
        <w:rPr>
          <w:rFonts w:hint="eastAsia" w:ascii="仿宋_GB2312" w:eastAsia="仿宋_GB2312" w:cs="仿宋_GB2312"/>
          <w:color w:val="auto"/>
          <w:sz w:val="32"/>
          <w:szCs w:val="32"/>
          <w:highlight w:val="none"/>
          <w:lang w:eastAsia="zh-CN"/>
        </w:rPr>
        <w:t>可设置</w:t>
      </w:r>
      <w:r>
        <w:rPr>
          <w:rFonts w:hint="eastAsia" w:ascii="仿宋_GB2312" w:eastAsia="仿宋_GB2312" w:cs="仿宋_GB2312"/>
          <w:color w:val="auto"/>
          <w:sz w:val="32"/>
          <w:szCs w:val="32"/>
          <w:highlight w:val="none"/>
          <w:lang w:val="en-US" w:eastAsia="zh-CN"/>
        </w:rPr>
        <w:t>1个零售点；</w:t>
      </w:r>
    </w:p>
    <w:p w14:paraId="766E1CD6">
      <w:pPr>
        <w:ind w:firstLine="640" w:firstLineChars="200"/>
        <w:rPr>
          <w:rFonts w:hint="eastAsia" w:ascii="仿宋_GB2312" w:eastAsia="仿宋_GB2312" w:cs="方正仿宋_GB2312"/>
          <w:color w:val="auto"/>
          <w:sz w:val="32"/>
          <w:szCs w:val="32"/>
          <w:highlight w:val="none"/>
          <w:u w:val="none"/>
        </w:rPr>
      </w:pPr>
      <w:r>
        <w:rPr>
          <w:rFonts w:hint="eastAsia" w:ascii="仿宋_GB2312" w:eastAsia="仿宋_GB2312" w:cs="方正仿宋_GB2312"/>
          <w:color w:val="auto"/>
          <w:sz w:val="32"/>
          <w:szCs w:val="32"/>
          <w:highlight w:val="none"/>
          <w:u w:val="none"/>
        </w:rPr>
        <w:t>（七）军队驻地、看守所等封闭管理的内部场所内，以满足停留在该类设施内的特定消费人群，且能接受监督检查的，可设置1个零售点；</w:t>
      </w:r>
    </w:p>
    <w:p w14:paraId="23CFAF58">
      <w:pPr>
        <w:ind w:firstLine="640" w:firstLineChars="200"/>
        <w:rPr>
          <w:rFonts w:hint="eastAsia" w:ascii="仿宋_GB2312" w:hAnsi="仿宋_GB2312" w:eastAsia="仿宋_GB2312" w:cs="仿宋_GB2312"/>
          <w:b/>
          <w:bCs/>
          <w:color w:val="auto"/>
          <w:sz w:val="32"/>
          <w:szCs w:val="32"/>
          <w:highlight w:val="none"/>
        </w:rPr>
      </w:pPr>
      <w:r>
        <w:rPr>
          <w:rFonts w:hint="eastAsia" w:eastAsia="仿宋_GB2312" w:cs="方正仿宋_GB2312"/>
          <w:color w:val="auto"/>
          <w:sz w:val="32"/>
          <w:szCs w:val="32"/>
          <w:highlight w:val="none"/>
        </w:rPr>
        <w:t>（</w:t>
      </w:r>
      <w:r>
        <w:rPr>
          <w:rFonts w:hint="eastAsia" w:eastAsia="仿宋_GB2312" w:cs="方正仿宋_GB2312"/>
          <w:color w:val="auto"/>
          <w:sz w:val="32"/>
          <w:szCs w:val="32"/>
          <w:highlight w:val="none"/>
          <w:lang w:eastAsia="zh-CN"/>
        </w:rPr>
        <w:t>八</w:t>
      </w:r>
      <w:r>
        <w:rPr>
          <w:rFonts w:hint="eastAsia" w:eastAsia="仿宋_GB2312" w:cs="方正仿宋_GB2312"/>
          <w:color w:val="auto"/>
          <w:sz w:val="32"/>
          <w:szCs w:val="32"/>
          <w:highlight w:val="none"/>
        </w:rPr>
        <w:t>）</w:t>
      </w:r>
      <w:r>
        <w:rPr>
          <w:rFonts w:hint="eastAsia" w:ascii="仿宋_GB2312" w:eastAsia="仿宋_GB2312"/>
          <w:color w:val="auto"/>
          <w:kern w:val="0"/>
          <w:sz w:val="32"/>
          <w:szCs w:val="32"/>
          <w:highlight w:val="none"/>
        </w:rPr>
        <w:t>独立市场单元外围沿街门店，且对行人开放的经营场所不适用于此条规定，按照所在最小市场单元指导数及</w:t>
      </w:r>
      <w:r>
        <w:rPr>
          <w:rFonts w:hint="eastAsia" w:ascii="仿宋_GB2312" w:eastAsia="仿宋_GB2312"/>
          <w:color w:val="auto"/>
          <w:kern w:val="0"/>
          <w:sz w:val="32"/>
          <w:szCs w:val="32"/>
          <w:highlight w:val="none"/>
          <w:lang w:eastAsia="zh-CN"/>
        </w:rPr>
        <w:t>间隔距离</w:t>
      </w:r>
      <w:r>
        <w:rPr>
          <w:rFonts w:hint="eastAsia" w:ascii="仿宋_GB2312" w:eastAsia="仿宋_GB2312"/>
          <w:color w:val="auto"/>
          <w:kern w:val="0"/>
          <w:sz w:val="32"/>
          <w:szCs w:val="32"/>
          <w:highlight w:val="none"/>
        </w:rPr>
        <w:t>标准设置。</w:t>
      </w:r>
    </w:p>
    <w:p w14:paraId="52948DB4">
      <w:pPr>
        <w:ind w:firstLine="320" w:firstLineChars="100"/>
        <w:jc w:val="center"/>
        <w:rPr>
          <w:rFonts w:hint="eastAsia" w:ascii="黑体" w:hAnsi="黑体" w:eastAsia="黑体" w:cs="仿宋_GB2312"/>
          <w:color w:val="auto"/>
          <w:sz w:val="32"/>
          <w:szCs w:val="32"/>
          <w:highlight w:val="none"/>
        </w:rPr>
      </w:pPr>
      <w:r>
        <w:rPr>
          <w:rFonts w:hint="eastAsia" w:ascii="黑体" w:hAnsi="黑体" w:eastAsia="黑体" w:cs="仿宋_GB2312"/>
          <w:bCs/>
          <w:color w:val="auto"/>
          <w:sz w:val="32"/>
          <w:szCs w:val="32"/>
          <w:highlight w:val="none"/>
        </w:rPr>
        <w:t>第三章  弱势群体与优抚对象布局标准</w:t>
      </w:r>
    </w:p>
    <w:p w14:paraId="214E977A">
      <w:pPr>
        <w:widowControl/>
        <w:spacing w:before="86" w:line="257" w:lineRule="atLeast"/>
        <w:ind w:firstLine="640" w:firstLineChars="200"/>
        <w:jc w:val="left"/>
        <w:rPr>
          <w:rFonts w:hint="eastAsia" w:ascii="仿宋_GB2312" w:hAnsi="仿宋_GB2312" w:eastAsia="仿宋_GB2312" w:cs="仿宋_GB2312"/>
          <w:color w:val="auto"/>
          <w:kern w:val="0"/>
          <w:sz w:val="32"/>
          <w:szCs w:val="32"/>
          <w:highlight w:val="none"/>
          <w:u w:val="none"/>
          <w:lang w:eastAsia="zh-CN"/>
        </w:rPr>
      </w:pPr>
      <w:r>
        <w:rPr>
          <w:rFonts w:hint="eastAsia" w:ascii="黑体" w:hAnsi="黑体" w:eastAsia="黑体" w:cs="仿宋_GB2312"/>
          <w:color w:val="auto"/>
          <w:kern w:val="0"/>
          <w:sz w:val="32"/>
          <w:szCs w:val="32"/>
          <w:highlight w:val="none"/>
          <w:u w:val="none"/>
        </w:rPr>
        <w:t>第十三条</w:t>
      </w:r>
      <w:r>
        <w:rPr>
          <w:rFonts w:hint="eastAsia" w:ascii="仿宋_GB2312" w:hAnsi="仿宋_GB2312" w:eastAsia="仿宋_GB2312" w:cs="仿宋_GB2312"/>
          <w:color w:val="auto"/>
          <w:kern w:val="0"/>
          <w:sz w:val="32"/>
          <w:szCs w:val="32"/>
          <w:highlight w:val="none"/>
          <w:u w:val="none"/>
        </w:rPr>
        <w:t xml:space="preserve">  本规划中弱势群体主要指持有政府职能部门核发的合法有效的残疾人证</w:t>
      </w:r>
      <w:r>
        <w:rPr>
          <w:rFonts w:hint="eastAsia" w:ascii="仿宋_GB2312" w:hAnsi="仿宋_GB2312" w:eastAsia="仿宋_GB2312" w:cs="仿宋_GB2312"/>
          <w:color w:val="auto"/>
          <w:kern w:val="0"/>
          <w:sz w:val="32"/>
          <w:szCs w:val="32"/>
          <w:highlight w:val="none"/>
          <w:u w:val="none"/>
          <w:lang w:eastAsia="zh-CN"/>
        </w:rPr>
        <w:t>的残疾人。</w:t>
      </w:r>
    </w:p>
    <w:p w14:paraId="24978EAF">
      <w:pPr>
        <w:widowControl/>
        <w:spacing w:before="86" w:line="257" w:lineRule="atLeast"/>
        <w:ind w:firstLine="640"/>
        <w:jc w:val="left"/>
        <w:rPr>
          <w:rFonts w:hint="eastAsia" w:ascii="仿宋_GB2312" w:hAnsi="仿宋_GB2312" w:eastAsia="仿宋_GB2312" w:cs="仿宋_GB2312"/>
          <w:color w:val="auto"/>
          <w:kern w:val="0"/>
          <w:sz w:val="32"/>
          <w:szCs w:val="32"/>
          <w:highlight w:val="none"/>
        </w:rPr>
      </w:pPr>
      <w:r>
        <w:rPr>
          <w:rFonts w:hint="eastAsia" w:ascii="黑体" w:hAnsi="黑体" w:eastAsia="黑体"/>
          <w:color w:val="auto"/>
          <w:sz w:val="32"/>
          <w:szCs w:val="32"/>
          <w:highlight w:val="none"/>
        </w:rPr>
        <w:t xml:space="preserve">第十四条  </w:t>
      </w:r>
      <w:r>
        <w:rPr>
          <w:rFonts w:hint="eastAsia" w:ascii="仿宋_GB2312" w:hAnsi="仿宋_GB2312" w:eastAsia="仿宋_GB2312" w:cs="仿宋_GB2312"/>
          <w:color w:val="auto"/>
          <w:kern w:val="0"/>
          <w:sz w:val="32"/>
          <w:szCs w:val="32"/>
          <w:highlight w:val="none"/>
        </w:rPr>
        <w:t>本规划中优抚对象指持有军队、政府及其机关部门颁发、开具的合法有效证明的烈士遗属、因公牺牲军人遗属、病故军人遗属。</w:t>
      </w:r>
    </w:p>
    <w:p w14:paraId="2C7C9DD2">
      <w:pPr>
        <w:widowControl/>
        <w:spacing w:before="86" w:line="257" w:lineRule="atLeast"/>
        <w:ind w:firstLine="640"/>
        <w:jc w:val="left"/>
        <w:rPr>
          <w:rFonts w:hint="eastAsia" w:ascii="仿宋_GB2312" w:eastAsia="仿宋_GB2312"/>
          <w:color w:val="auto"/>
          <w:kern w:val="0"/>
          <w:sz w:val="32"/>
          <w:szCs w:val="32"/>
          <w:highlight w:val="none"/>
          <w:u w:val="none"/>
          <w:lang w:eastAsia="zh-CN"/>
        </w:rPr>
      </w:pPr>
      <w:r>
        <w:rPr>
          <w:rFonts w:hint="eastAsia" w:ascii="黑体" w:hAnsi="黑体" w:eastAsia="黑体"/>
          <w:bCs/>
          <w:color w:val="auto"/>
          <w:sz w:val="32"/>
          <w:szCs w:val="32"/>
          <w:highlight w:val="none"/>
          <w:u w:val="none"/>
        </w:rPr>
        <w:t>第十五条</w:t>
      </w:r>
      <w:r>
        <w:rPr>
          <w:rFonts w:hint="eastAsia" w:ascii="仿宋_GB2312" w:eastAsia="仿宋_GB2312"/>
          <w:bCs/>
          <w:color w:val="auto"/>
          <w:sz w:val="32"/>
          <w:szCs w:val="32"/>
          <w:highlight w:val="none"/>
          <w:u w:val="none"/>
        </w:rPr>
        <w:t xml:space="preserve"> </w:t>
      </w:r>
      <w:r>
        <w:rPr>
          <w:rFonts w:hint="eastAsia" w:ascii="仿宋_GB2312" w:eastAsia="仿宋_GB2312"/>
          <w:bCs/>
          <w:color w:val="auto"/>
          <w:sz w:val="32"/>
          <w:szCs w:val="32"/>
          <w:highlight w:val="none"/>
          <w:u w:val="none"/>
          <w:lang w:val="en-US" w:eastAsia="zh-CN"/>
        </w:rPr>
        <w:t xml:space="preserve"> </w:t>
      </w:r>
      <w:r>
        <w:rPr>
          <w:rFonts w:hint="eastAsia" w:ascii="仿宋_GB2312" w:eastAsia="仿宋_GB2312"/>
          <w:color w:val="auto"/>
          <w:kern w:val="0"/>
          <w:sz w:val="32"/>
          <w:szCs w:val="32"/>
          <w:highlight w:val="none"/>
          <w:u w:val="none"/>
        </w:rPr>
        <w:t>弱势群体、优抚对象在首次申领烟草专卖零售许可证时，在遵守最小市场单元规划指导数量限制下，</w:t>
      </w:r>
      <w:r>
        <w:rPr>
          <w:rFonts w:hint="eastAsia" w:ascii="仿宋_GB2312" w:hAnsi="仿宋_GB2312" w:eastAsia="仿宋_GB2312" w:cs="仿宋_GB2312"/>
          <w:color w:val="auto"/>
          <w:kern w:val="0"/>
          <w:sz w:val="32"/>
          <w:szCs w:val="32"/>
          <w:highlight w:val="none"/>
          <w:u w:val="none"/>
        </w:rPr>
        <w:t>按照所在最小市场单元</w:t>
      </w:r>
      <w:r>
        <w:rPr>
          <w:rFonts w:hint="eastAsia" w:ascii="仿宋_GB2312" w:hAnsi="仿宋_GB2312" w:eastAsia="仿宋_GB2312" w:cs="仿宋_GB2312"/>
          <w:color w:val="auto"/>
          <w:kern w:val="0"/>
          <w:sz w:val="32"/>
          <w:szCs w:val="32"/>
          <w:highlight w:val="none"/>
          <w:u w:val="none"/>
          <w:lang w:eastAsia="zh-CN"/>
        </w:rPr>
        <w:t>间隔距离</w:t>
      </w:r>
      <w:r>
        <w:rPr>
          <w:rFonts w:hint="eastAsia" w:ascii="仿宋_GB2312" w:hAnsi="仿宋_GB2312" w:eastAsia="仿宋_GB2312" w:cs="仿宋_GB2312"/>
          <w:color w:val="auto"/>
          <w:kern w:val="0"/>
          <w:sz w:val="32"/>
          <w:szCs w:val="32"/>
          <w:highlight w:val="none"/>
          <w:u w:val="none"/>
        </w:rPr>
        <w:t>要求的60%执行</w:t>
      </w:r>
      <w:r>
        <w:rPr>
          <w:rFonts w:hint="eastAsia" w:ascii="仿宋_GB2312" w:eastAsia="仿宋_GB2312"/>
          <w:color w:val="auto"/>
          <w:kern w:val="0"/>
          <w:sz w:val="32"/>
          <w:szCs w:val="32"/>
          <w:highlight w:val="none"/>
          <w:u w:val="none"/>
          <w:lang w:eastAsia="zh-CN"/>
        </w:rPr>
        <w:t>。</w:t>
      </w:r>
    </w:p>
    <w:p w14:paraId="05B3338E">
      <w:pPr>
        <w:widowControl/>
        <w:spacing w:before="86" w:line="257" w:lineRule="atLeast"/>
        <w:ind w:firstLine="640"/>
        <w:jc w:val="left"/>
        <w:rPr>
          <w:rFonts w:hint="eastAsia" w:ascii="仿宋_GB2312" w:hAnsi="仿宋_GB2312" w:eastAsia="仿宋_GB2312" w:cs="仿宋_GB2312"/>
          <w:color w:val="auto"/>
          <w:kern w:val="0"/>
          <w:sz w:val="32"/>
          <w:szCs w:val="32"/>
          <w:highlight w:val="none"/>
          <w:u w:val="none"/>
        </w:rPr>
      </w:pPr>
      <w:r>
        <w:rPr>
          <w:rFonts w:hint="eastAsia" w:ascii="黑体" w:hAnsi="黑体" w:eastAsia="黑体"/>
          <w:bCs/>
          <w:color w:val="auto"/>
          <w:sz w:val="32"/>
          <w:szCs w:val="32"/>
          <w:highlight w:val="none"/>
          <w:u w:val="none"/>
        </w:rPr>
        <w:t>第十</w:t>
      </w:r>
      <w:r>
        <w:rPr>
          <w:rFonts w:hint="eastAsia" w:ascii="黑体" w:hAnsi="黑体" w:eastAsia="黑体"/>
          <w:bCs/>
          <w:color w:val="auto"/>
          <w:sz w:val="32"/>
          <w:szCs w:val="32"/>
          <w:highlight w:val="none"/>
          <w:u w:val="none"/>
          <w:lang w:eastAsia="zh-CN"/>
        </w:rPr>
        <w:t>六</w:t>
      </w:r>
      <w:r>
        <w:rPr>
          <w:rFonts w:hint="eastAsia" w:ascii="黑体" w:hAnsi="黑体" w:eastAsia="黑体"/>
          <w:bCs/>
          <w:color w:val="auto"/>
          <w:sz w:val="32"/>
          <w:szCs w:val="32"/>
          <w:highlight w:val="none"/>
          <w:u w:val="none"/>
        </w:rPr>
        <w:t>条</w:t>
      </w:r>
      <w:r>
        <w:rPr>
          <w:rFonts w:hint="eastAsia" w:ascii="黑体" w:hAnsi="黑体" w:eastAsia="黑体"/>
          <w:color w:val="auto"/>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rPr>
        <w:t xml:space="preserve"> 申请人具有下列情形之一，不适用</w:t>
      </w:r>
      <w:r>
        <w:rPr>
          <w:rFonts w:hint="eastAsia" w:ascii="仿宋_GB2312" w:hAnsi="仿宋_GB2312" w:eastAsia="仿宋_GB2312" w:cs="仿宋_GB2312"/>
          <w:color w:val="auto"/>
          <w:kern w:val="0"/>
          <w:sz w:val="32"/>
          <w:szCs w:val="32"/>
          <w:highlight w:val="none"/>
          <w:u w:val="none"/>
          <w:lang w:eastAsia="zh-CN"/>
        </w:rPr>
        <w:t>弱势群体与优抚对象照顾</w:t>
      </w:r>
      <w:r>
        <w:rPr>
          <w:rFonts w:hint="eastAsia" w:ascii="仿宋_GB2312" w:hAnsi="仿宋_GB2312" w:eastAsia="仿宋_GB2312" w:cs="仿宋_GB2312"/>
          <w:color w:val="auto"/>
          <w:kern w:val="0"/>
          <w:sz w:val="32"/>
          <w:szCs w:val="32"/>
          <w:highlight w:val="none"/>
          <w:u w:val="none"/>
        </w:rPr>
        <w:t>政策：</w:t>
      </w:r>
    </w:p>
    <w:p w14:paraId="00822059">
      <w:pPr>
        <w:widowControl/>
        <w:spacing w:before="86" w:line="257" w:lineRule="atLeast"/>
        <w:ind w:firstLine="640" w:firstLineChars="200"/>
        <w:jc w:val="left"/>
        <w:rPr>
          <w:rFonts w:eastAsia="仿宋_GB2312" w:cs="仿宋_GB2312"/>
          <w:color w:val="auto"/>
          <w:kern w:val="0"/>
          <w:sz w:val="32"/>
          <w:szCs w:val="32"/>
          <w:highlight w:val="none"/>
        </w:rPr>
      </w:pPr>
      <w:r>
        <w:rPr>
          <w:rFonts w:hint="eastAsia" w:eastAsia="仿宋_GB2312" w:cs="仿宋_GB2312"/>
          <w:color w:val="auto"/>
          <w:kern w:val="0"/>
          <w:sz w:val="32"/>
          <w:szCs w:val="32"/>
          <w:highlight w:val="none"/>
        </w:rPr>
        <w:t>（</w:t>
      </w:r>
      <w:r>
        <w:rPr>
          <w:rFonts w:hint="eastAsia" w:eastAsia="仿宋_GB2312" w:cs="仿宋_GB2312"/>
          <w:color w:val="auto"/>
          <w:kern w:val="0"/>
          <w:sz w:val="32"/>
          <w:szCs w:val="32"/>
          <w:highlight w:val="none"/>
          <w:lang w:eastAsia="zh-CN"/>
        </w:rPr>
        <w:t>一</w:t>
      </w:r>
      <w:r>
        <w:rPr>
          <w:rFonts w:hint="eastAsia" w:eastAsia="仿宋_GB2312" w:cs="仿宋_GB2312"/>
          <w:color w:val="auto"/>
          <w:kern w:val="0"/>
          <w:sz w:val="32"/>
          <w:szCs w:val="32"/>
          <w:highlight w:val="none"/>
        </w:rPr>
        <w:t>）非首次申请，已在本行政区域或其他市、县（区）内享受过一次放宽办证政策的；</w:t>
      </w:r>
    </w:p>
    <w:p w14:paraId="21A0990D">
      <w:pPr>
        <w:widowControl/>
        <w:spacing w:before="86" w:line="257" w:lineRule="atLeast"/>
        <w:ind w:firstLine="640"/>
        <w:jc w:val="left"/>
        <w:rPr>
          <w:rFonts w:hint="eastAsia" w:eastAsia="仿宋_GB2312" w:cs="仿宋_GB2312"/>
          <w:color w:val="auto"/>
          <w:kern w:val="0"/>
          <w:sz w:val="32"/>
          <w:szCs w:val="32"/>
          <w:highlight w:val="none"/>
        </w:rPr>
      </w:pPr>
      <w:r>
        <w:rPr>
          <w:rFonts w:hint="eastAsia" w:eastAsia="仿宋_GB2312" w:cs="仿宋_GB2312"/>
          <w:color w:val="auto"/>
          <w:kern w:val="0"/>
          <w:sz w:val="32"/>
          <w:szCs w:val="32"/>
          <w:highlight w:val="none"/>
        </w:rPr>
        <w:t>（</w:t>
      </w:r>
      <w:r>
        <w:rPr>
          <w:rFonts w:hint="eastAsia" w:eastAsia="仿宋_GB2312" w:cs="仿宋_GB2312"/>
          <w:color w:val="auto"/>
          <w:kern w:val="0"/>
          <w:sz w:val="32"/>
          <w:szCs w:val="32"/>
          <w:highlight w:val="none"/>
          <w:lang w:eastAsia="zh-CN"/>
        </w:rPr>
        <w:t>二</w:t>
      </w:r>
      <w:r>
        <w:rPr>
          <w:rFonts w:hint="eastAsia" w:eastAsia="仿宋_GB2312" w:cs="仿宋_GB2312"/>
          <w:color w:val="auto"/>
          <w:kern w:val="0"/>
          <w:sz w:val="32"/>
          <w:szCs w:val="32"/>
          <w:highlight w:val="none"/>
        </w:rPr>
        <w:t>）法律、法规、规章和国家烟草专卖局规定的不予放宽情形。</w:t>
      </w:r>
    </w:p>
    <w:p w14:paraId="5C4D9DCA">
      <w:pPr>
        <w:widowControl/>
        <w:spacing w:before="86" w:line="257" w:lineRule="atLeast"/>
        <w:ind w:firstLine="640"/>
        <w:jc w:val="left"/>
        <w:rPr>
          <w:rFonts w:hint="eastAsia" w:ascii="仿宋_GB2312" w:eastAsia="仿宋_GB2312"/>
          <w:bCs/>
          <w:color w:val="auto"/>
          <w:sz w:val="32"/>
          <w:szCs w:val="32"/>
          <w:highlight w:val="none"/>
        </w:rPr>
      </w:pPr>
      <w:r>
        <w:rPr>
          <w:rFonts w:hint="eastAsia" w:ascii="黑体" w:hAnsi="黑体" w:eastAsia="黑体"/>
          <w:bCs/>
          <w:color w:val="auto"/>
          <w:sz w:val="32"/>
          <w:szCs w:val="32"/>
          <w:highlight w:val="none"/>
        </w:rPr>
        <w:t>第十</w:t>
      </w:r>
      <w:r>
        <w:rPr>
          <w:rFonts w:hint="eastAsia" w:ascii="黑体" w:hAnsi="黑体" w:eastAsia="黑体"/>
          <w:bCs/>
          <w:color w:val="auto"/>
          <w:sz w:val="32"/>
          <w:szCs w:val="32"/>
          <w:highlight w:val="none"/>
          <w:lang w:eastAsia="zh-CN"/>
        </w:rPr>
        <w:t>七</w:t>
      </w:r>
      <w:r>
        <w:rPr>
          <w:rFonts w:hint="eastAsia" w:ascii="黑体" w:hAnsi="黑体" w:eastAsia="黑体"/>
          <w:bCs/>
          <w:color w:val="auto"/>
          <w:sz w:val="32"/>
          <w:szCs w:val="32"/>
          <w:highlight w:val="none"/>
        </w:rPr>
        <w:t>条</w:t>
      </w:r>
      <w:r>
        <w:rPr>
          <w:rFonts w:hint="eastAsia" w:ascii="仿宋_GB2312" w:eastAsia="仿宋_GB2312"/>
          <w:b/>
          <w:bCs/>
          <w:color w:val="auto"/>
          <w:sz w:val="32"/>
          <w:szCs w:val="32"/>
          <w:highlight w:val="none"/>
        </w:rPr>
        <w:t xml:space="preserve">  </w:t>
      </w:r>
      <w:r>
        <w:rPr>
          <w:rFonts w:hint="eastAsia" w:ascii="仿宋_GB2312" w:eastAsia="仿宋_GB2312"/>
          <w:bCs/>
          <w:color w:val="auto"/>
          <w:sz w:val="32"/>
          <w:szCs w:val="32"/>
          <w:highlight w:val="none"/>
        </w:rPr>
        <w:t>弱势群体及优抚对象布局标准仅限申请人本人自主经营，确因自身原因不能独立自主经营的，应由其直系亲属(配偶、父母、子女)协助驻店经营，不包含委托、合伙、聘用经营等情形。</w:t>
      </w:r>
    </w:p>
    <w:p w14:paraId="42AE86D4">
      <w:pPr>
        <w:widowControl/>
        <w:spacing w:before="86" w:line="257" w:lineRule="atLeast"/>
        <w:ind w:firstLine="640"/>
        <w:jc w:val="left"/>
        <w:rPr>
          <w:rFonts w:hint="eastAsia" w:ascii="仿宋_GB2312" w:eastAsia="仿宋_GB2312"/>
          <w:b/>
          <w:bCs/>
          <w:color w:val="auto"/>
          <w:sz w:val="32"/>
          <w:szCs w:val="32"/>
          <w:highlight w:val="none"/>
        </w:rPr>
      </w:pPr>
      <w:r>
        <w:rPr>
          <w:rFonts w:hint="eastAsia" w:ascii="黑体" w:hAnsi="黑体" w:eastAsia="黑体"/>
          <w:bCs/>
          <w:color w:val="auto"/>
          <w:sz w:val="32"/>
          <w:szCs w:val="32"/>
          <w:highlight w:val="none"/>
        </w:rPr>
        <w:t>第十</w:t>
      </w:r>
      <w:r>
        <w:rPr>
          <w:rFonts w:hint="eastAsia" w:ascii="黑体" w:hAnsi="黑体" w:eastAsia="黑体"/>
          <w:bCs/>
          <w:color w:val="auto"/>
          <w:sz w:val="32"/>
          <w:szCs w:val="32"/>
          <w:highlight w:val="none"/>
          <w:lang w:eastAsia="zh-CN"/>
        </w:rPr>
        <w:t>八</w:t>
      </w:r>
      <w:r>
        <w:rPr>
          <w:rFonts w:hint="eastAsia" w:ascii="黑体" w:hAnsi="黑体" w:eastAsia="黑体"/>
          <w:bCs/>
          <w:color w:val="auto"/>
          <w:sz w:val="32"/>
          <w:szCs w:val="32"/>
          <w:highlight w:val="none"/>
        </w:rPr>
        <w:t>条</w:t>
      </w:r>
      <w:r>
        <w:rPr>
          <w:rFonts w:hint="eastAsia" w:ascii="仿宋_GB2312" w:eastAsia="仿宋_GB2312"/>
          <w:b/>
          <w:bCs/>
          <w:color w:val="auto"/>
          <w:sz w:val="32"/>
          <w:szCs w:val="32"/>
          <w:highlight w:val="none"/>
        </w:rPr>
        <w:t xml:space="preserve">  </w:t>
      </w:r>
      <w:r>
        <w:rPr>
          <w:rFonts w:hint="eastAsia" w:ascii="仿宋_GB2312" w:eastAsia="仿宋_GB2312"/>
          <w:bCs/>
          <w:color w:val="auto"/>
          <w:sz w:val="32"/>
          <w:szCs w:val="32"/>
          <w:highlight w:val="none"/>
        </w:rPr>
        <w:t>申请人为弱势群体或优抚对象的，需具备完全民事行为能力并签署诚信经营书面承诺。</w:t>
      </w:r>
    </w:p>
    <w:p w14:paraId="5E88BBFB">
      <w:pPr>
        <w:widowControl/>
        <w:spacing w:before="86" w:line="257" w:lineRule="atLeast"/>
        <w:ind w:firstLine="640"/>
        <w:jc w:val="left"/>
        <w:rPr>
          <w:rFonts w:hint="eastAsia" w:ascii="仿宋_GB2312" w:eastAsia="仿宋_GB2312"/>
          <w:bCs/>
          <w:color w:val="auto"/>
          <w:sz w:val="32"/>
          <w:szCs w:val="32"/>
          <w:highlight w:val="none"/>
        </w:rPr>
      </w:pPr>
      <w:r>
        <w:rPr>
          <w:rFonts w:hint="eastAsia" w:ascii="黑体" w:hAnsi="黑体" w:eastAsia="黑体"/>
          <w:bCs/>
          <w:color w:val="auto"/>
          <w:sz w:val="32"/>
          <w:szCs w:val="32"/>
          <w:highlight w:val="none"/>
        </w:rPr>
        <w:t>第</w:t>
      </w:r>
      <w:r>
        <w:rPr>
          <w:rFonts w:hint="eastAsia" w:ascii="黑体" w:hAnsi="黑体" w:eastAsia="黑体"/>
          <w:bCs/>
          <w:color w:val="auto"/>
          <w:sz w:val="32"/>
          <w:szCs w:val="32"/>
          <w:highlight w:val="none"/>
          <w:lang w:eastAsia="zh-CN"/>
        </w:rPr>
        <w:t>十九</w:t>
      </w:r>
      <w:r>
        <w:rPr>
          <w:rFonts w:hint="eastAsia" w:ascii="黑体" w:hAnsi="黑体" w:eastAsia="黑体"/>
          <w:bCs/>
          <w:color w:val="auto"/>
          <w:sz w:val="32"/>
          <w:szCs w:val="32"/>
          <w:highlight w:val="none"/>
        </w:rPr>
        <w:t>条</w:t>
      </w:r>
      <w:r>
        <w:rPr>
          <w:rFonts w:hint="eastAsia" w:ascii="仿宋_GB2312" w:eastAsia="仿宋_GB2312"/>
          <w:b/>
          <w:bCs/>
          <w:color w:val="auto"/>
          <w:sz w:val="32"/>
          <w:szCs w:val="32"/>
          <w:highlight w:val="none"/>
        </w:rPr>
        <w:t xml:space="preserve">  </w:t>
      </w:r>
      <w:r>
        <w:rPr>
          <w:rFonts w:hint="eastAsia" w:ascii="仿宋_GB2312" w:eastAsia="仿宋_GB2312"/>
          <w:bCs/>
          <w:color w:val="auto"/>
          <w:sz w:val="32"/>
          <w:szCs w:val="32"/>
          <w:highlight w:val="none"/>
        </w:rPr>
        <w:t>中小学校、幼儿园内部及周围等明令禁止的区域应当从其规定。</w:t>
      </w:r>
    </w:p>
    <w:p w14:paraId="1FFF464A">
      <w:pPr>
        <w:widowControl/>
        <w:spacing w:before="86" w:line="257" w:lineRule="atLeast"/>
        <w:ind w:firstLine="640"/>
        <w:jc w:val="left"/>
        <w:rPr>
          <w:rFonts w:hint="eastAsia" w:ascii="仿宋_GB2312" w:hAnsi="方正仿宋_GB2312" w:eastAsia="仿宋_GB2312" w:cs="方正仿宋_GB2312"/>
          <w:color w:val="auto"/>
          <w:kern w:val="0"/>
          <w:sz w:val="32"/>
          <w:szCs w:val="32"/>
          <w:highlight w:val="none"/>
        </w:rPr>
      </w:pPr>
      <w:r>
        <w:rPr>
          <w:rFonts w:hint="eastAsia" w:ascii="黑体" w:hAnsi="黑体" w:eastAsia="黑体" w:cs="仿宋_GB2312"/>
          <w:color w:val="auto"/>
          <w:sz w:val="32"/>
          <w:szCs w:val="32"/>
          <w:highlight w:val="none"/>
        </w:rPr>
        <w:t>第二十条</w:t>
      </w:r>
      <w:r>
        <w:rPr>
          <w:rFonts w:hint="eastAsia" w:ascii="仿宋_GB2312" w:hAnsi="仿宋_GB2312" w:eastAsia="仿宋_GB2312" w:cs="仿宋_GB2312"/>
          <w:color w:val="auto"/>
          <w:sz w:val="32"/>
          <w:szCs w:val="32"/>
          <w:highlight w:val="none"/>
        </w:rPr>
        <w:t xml:space="preserve">  </w:t>
      </w:r>
      <w:r>
        <w:rPr>
          <w:rFonts w:hint="eastAsia" w:ascii="仿宋_GB2312" w:hAnsi="方正仿宋_GB2312" w:eastAsia="仿宋_GB2312" w:cs="方正仿宋_GB2312"/>
          <w:color w:val="auto"/>
          <w:kern w:val="0"/>
          <w:sz w:val="32"/>
          <w:szCs w:val="32"/>
          <w:highlight w:val="none"/>
        </w:rPr>
        <w:t>法律、法规、规章和国家烟草专卖局规定</w:t>
      </w:r>
      <w:r>
        <w:rPr>
          <w:rFonts w:hint="eastAsia" w:ascii="仿宋_GB2312" w:eastAsia="仿宋_GB2312" w:cs="仿宋_GB2312"/>
          <w:color w:val="auto"/>
          <w:kern w:val="0"/>
          <w:sz w:val="32"/>
          <w:szCs w:val="32"/>
          <w:highlight w:val="none"/>
        </w:rPr>
        <w:t>或地方政府及相关职能部门</w:t>
      </w:r>
      <w:r>
        <w:rPr>
          <w:rFonts w:hint="eastAsia" w:ascii="仿宋_GB2312" w:hAnsi="方正仿宋_GB2312" w:eastAsia="仿宋_GB2312" w:cs="方正仿宋_GB2312"/>
          <w:color w:val="auto"/>
          <w:kern w:val="0"/>
          <w:sz w:val="32"/>
          <w:szCs w:val="32"/>
          <w:highlight w:val="none"/>
        </w:rPr>
        <w:t>出具证明材料需要扶持的其他情形。</w:t>
      </w:r>
    </w:p>
    <w:p w14:paraId="1E0B01E7">
      <w:pPr>
        <w:widowControl/>
        <w:spacing w:before="86" w:line="257" w:lineRule="atLeast"/>
        <w:ind w:firstLine="640" w:firstLineChars="20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第四章 特殊情形规定</w:t>
      </w:r>
    </w:p>
    <w:p w14:paraId="05165ED8">
      <w:pPr>
        <w:widowControl/>
        <w:spacing w:before="86" w:line="257" w:lineRule="atLeast"/>
        <w:ind w:firstLine="640" w:firstLineChars="200"/>
        <w:jc w:val="left"/>
        <w:rPr>
          <w:rFonts w:hint="eastAsia" w:ascii="仿宋_GB2312" w:hAnsi="仿宋_GB2312" w:eastAsia="仿宋_GB2312" w:cs="仿宋_GB2312"/>
          <w:color w:val="auto"/>
          <w:kern w:val="0"/>
          <w:sz w:val="32"/>
          <w:szCs w:val="32"/>
          <w:highlight w:val="none"/>
        </w:rPr>
      </w:pPr>
      <w:r>
        <w:rPr>
          <w:rFonts w:hint="eastAsia" w:ascii="黑体" w:hAnsi="黑体" w:eastAsia="黑体"/>
          <w:bCs/>
          <w:color w:val="auto"/>
          <w:sz w:val="32"/>
          <w:szCs w:val="32"/>
          <w:highlight w:val="none"/>
        </w:rPr>
        <w:t>第二十</w:t>
      </w:r>
      <w:r>
        <w:rPr>
          <w:rFonts w:hint="eastAsia" w:ascii="黑体" w:hAnsi="黑体" w:eastAsia="黑体"/>
          <w:bCs/>
          <w:color w:val="auto"/>
          <w:sz w:val="32"/>
          <w:szCs w:val="32"/>
          <w:highlight w:val="none"/>
          <w:lang w:eastAsia="zh-CN"/>
        </w:rPr>
        <w:t>一</w:t>
      </w:r>
      <w:r>
        <w:rPr>
          <w:rFonts w:hint="eastAsia" w:ascii="黑体" w:hAnsi="黑体" w:eastAsia="黑体"/>
          <w:bCs/>
          <w:color w:val="auto"/>
          <w:sz w:val="32"/>
          <w:szCs w:val="32"/>
          <w:highlight w:val="none"/>
        </w:rPr>
        <w:t>条</w:t>
      </w:r>
      <w:r>
        <w:rPr>
          <w:rFonts w:hint="eastAsia" w:ascii="仿宋_GB2312" w:hAnsi="仿宋_GB2312" w:eastAsia="仿宋_GB2312" w:cs="仿宋_GB2312"/>
          <w:color w:val="auto"/>
          <w:kern w:val="0"/>
          <w:sz w:val="32"/>
          <w:szCs w:val="32"/>
          <w:highlight w:val="none"/>
        </w:rPr>
        <w:t xml:space="preserve">  有下列情形之一，</w:t>
      </w:r>
      <w:r>
        <w:rPr>
          <w:rFonts w:hint="eastAsia" w:ascii="仿宋_GB2312" w:hAnsi="仿宋_GB2312" w:eastAsia="仿宋_GB2312" w:cs="仿宋_GB2312"/>
          <w:color w:val="auto"/>
          <w:sz w:val="32"/>
          <w:szCs w:val="32"/>
          <w:highlight w:val="none"/>
        </w:rPr>
        <w:t>烟草专卖零售许可证在有效期内，</w:t>
      </w:r>
      <w:r>
        <w:rPr>
          <w:rFonts w:hint="eastAsia" w:ascii="仿宋_GB2312" w:eastAsia="仿宋_GB2312"/>
          <w:color w:val="auto"/>
          <w:kern w:val="0"/>
          <w:sz w:val="32"/>
          <w:szCs w:val="32"/>
          <w:highlight w:val="none"/>
          <w:u w:val="none"/>
        </w:rPr>
        <w:t>在遵守最小市场单元规划指导数量限制下，</w:t>
      </w:r>
      <w:r>
        <w:rPr>
          <w:rFonts w:hint="eastAsia" w:ascii="仿宋_GB2312" w:hAnsi="仿宋_GB2312" w:eastAsia="仿宋_GB2312" w:cs="仿宋_GB2312"/>
          <w:color w:val="auto"/>
          <w:kern w:val="0"/>
          <w:sz w:val="32"/>
          <w:szCs w:val="32"/>
          <w:highlight w:val="none"/>
        </w:rPr>
        <w:t>按照所在最小市场单元</w:t>
      </w:r>
      <w:r>
        <w:rPr>
          <w:rFonts w:hint="eastAsia" w:ascii="仿宋_GB2312" w:hAnsi="仿宋_GB2312" w:eastAsia="仿宋_GB2312" w:cs="仿宋_GB2312"/>
          <w:color w:val="auto"/>
          <w:kern w:val="0"/>
          <w:sz w:val="32"/>
          <w:szCs w:val="32"/>
          <w:highlight w:val="none"/>
          <w:lang w:eastAsia="zh-CN"/>
        </w:rPr>
        <w:t>间隔距离</w:t>
      </w:r>
      <w:r>
        <w:rPr>
          <w:rFonts w:hint="eastAsia" w:ascii="仿宋_GB2312" w:hAnsi="仿宋_GB2312" w:eastAsia="仿宋_GB2312" w:cs="仿宋_GB2312"/>
          <w:color w:val="auto"/>
          <w:kern w:val="0"/>
          <w:sz w:val="32"/>
          <w:szCs w:val="32"/>
          <w:highlight w:val="none"/>
        </w:rPr>
        <w:t>要求的60%执行:</w:t>
      </w:r>
    </w:p>
    <w:p w14:paraId="1E2F3375">
      <w:pPr>
        <w:widowControl/>
        <w:spacing w:before="86" w:line="257" w:lineRule="atLeast"/>
        <w:ind w:firstLine="640"/>
        <w:jc w:val="left"/>
        <w:rPr>
          <w:rFonts w:hint="eastAsia" w:ascii="仿宋_GB2312" w:eastAsia="仿宋_GB2312" w:cs="方正仿宋_GB2312"/>
          <w:color w:val="auto"/>
          <w:kern w:val="0"/>
          <w:sz w:val="32"/>
          <w:szCs w:val="32"/>
          <w:highlight w:val="none"/>
        </w:rPr>
      </w:pPr>
      <w:r>
        <w:rPr>
          <w:rFonts w:hint="eastAsia" w:ascii="仿宋_GB2312" w:eastAsia="仿宋_GB2312" w:cs="方正仿宋_GB2312"/>
          <w:color w:val="auto"/>
          <w:kern w:val="0"/>
          <w:sz w:val="32"/>
          <w:szCs w:val="32"/>
          <w:highlight w:val="none"/>
          <w:lang w:eastAsia="zh-CN"/>
        </w:rPr>
        <w:t>（一）</w:t>
      </w:r>
      <w:r>
        <w:rPr>
          <w:rFonts w:hint="eastAsia" w:ascii="仿宋_GB2312" w:eastAsia="仿宋_GB2312" w:cs="方正仿宋_GB2312"/>
          <w:color w:val="auto"/>
          <w:kern w:val="0"/>
          <w:sz w:val="32"/>
          <w:szCs w:val="32"/>
          <w:highlight w:val="none"/>
        </w:rPr>
        <w:t>因道路规划、城市建设等客观原因造成无法在核定的经营地址经营，持证人自经营地址客观情形发生变化之日起90个自然日内或自发证机关书面通知之日起30个自然日内，凭县（区）级以上人民政府拆迁文件(公告)，主动</w:t>
      </w:r>
      <w:r>
        <w:rPr>
          <w:rFonts w:hint="eastAsia" w:ascii="仿宋_GB2312" w:eastAsia="仿宋_GB2312" w:cs="方正仿宋_GB2312"/>
          <w:color w:val="auto"/>
          <w:kern w:val="0"/>
          <w:sz w:val="32"/>
          <w:szCs w:val="32"/>
          <w:highlight w:val="none"/>
          <w:lang w:eastAsia="zh-CN"/>
        </w:rPr>
        <w:t>申请变更至发证机关</w:t>
      </w:r>
      <w:r>
        <w:rPr>
          <w:rFonts w:hint="eastAsia" w:ascii="仿宋_GB2312" w:eastAsia="仿宋_GB2312" w:cs="方正仿宋_GB2312"/>
          <w:color w:val="auto"/>
          <w:kern w:val="0"/>
          <w:sz w:val="32"/>
          <w:szCs w:val="32"/>
          <w:highlight w:val="none"/>
        </w:rPr>
        <w:t>辖区内选址重新申请办理烟草专卖零售许可证的。以上述期间截止日的先到日为期间届满标准，期间届满，未重新申请办理烟草专卖零售许可证或申请未获许可的，烟草专卖局将依法注销其烟草专卖零售许可证。</w:t>
      </w:r>
    </w:p>
    <w:p w14:paraId="044366CD">
      <w:pPr>
        <w:widowControl/>
        <w:spacing w:before="86" w:line="257" w:lineRule="atLeast"/>
        <w:ind w:firstLine="640"/>
        <w:jc w:val="left"/>
        <w:rPr>
          <w:rFonts w:hint="eastAsia" w:ascii="仿宋_GB2312" w:eastAsia="仿宋_GB2312" w:cs="方正仿宋_GB2312"/>
          <w:color w:val="auto"/>
          <w:kern w:val="0"/>
          <w:sz w:val="32"/>
          <w:szCs w:val="32"/>
          <w:highlight w:val="none"/>
        </w:rPr>
      </w:pPr>
      <w:r>
        <w:rPr>
          <w:rFonts w:hint="eastAsia" w:ascii="仿宋_GB2312" w:eastAsia="仿宋_GB2312"/>
          <w:bCs/>
          <w:color w:val="auto"/>
          <w:sz w:val="32"/>
          <w:szCs w:val="32"/>
          <w:highlight w:val="none"/>
        </w:rPr>
        <w:t>（二）</w:t>
      </w:r>
      <w:r>
        <w:rPr>
          <w:rFonts w:hint="eastAsia" w:ascii="仿宋_GB2312" w:eastAsia="仿宋_GB2312" w:cs="方正仿宋_GB2312"/>
          <w:color w:val="auto"/>
          <w:kern w:val="0"/>
          <w:sz w:val="32"/>
          <w:szCs w:val="32"/>
          <w:highlight w:val="none"/>
        </w:rPr>
        <w:t>经营场所建筑面积达到300平方米以上且为同一楼层，</w:t>
      </w:r>
      <w:r>
        <w:rPr>
          <w:rFonts w:hint="eastAsia" w:ascii="仿宋_GB2312" w:eastAsia="仿宋_GB2312" w:cs="方正仿宋_GB2312"/>
          <w:color w:val="auto"/>
          <w:sz w:val="32"/>
          <w:szCs w:val="32"/>
          <w:highlight w:val="none"/>
        </w:rPr>
        <w:t>主营业务</w:t>
      </w:r>
      <w:r>
        <w:rPr>
          <w:rFonts w:hint="eastAsia" w:ascii="仿宋_GB2312" w:eastAsia="仿宋_GB2312"/>
          <w:color w:val="auto"/>
          <w:sz w:val="32"/>
          <w:szCs w:val="32"/>
          <w:highlight w:val="none"/>
        </w:rPr>
        <w:t>为销售食品、酒水饮料、日用品等综合性商品</w:t>
      </w:r>
      <w:r>
        <w:rPr>
          <w:rFonts w:hint="eastAsia" w:ascii="仿宋_GB2312" w:eastAsia="仿宋_GB2312" w:cs="方正仿宋_GB2312"/>
          <w:color w:val="auto"/>
          <w:kern w:val="0"/>
          <w:sz w:val="32"/>
          <w:szCs w:val="32"/>
          <w:highlight w:val="none"/>
        </w:rPr>
        <w:t>与烟草制品零售业务有直接互补关系</w:t>
      </w:r>
      <w:r>
        <w:rPr>
          <w:rFonts w:hint="eastAsia" w:ascii="仿宋_GB2312" w:eastAsia="仿宋_GB2312" w:cs="方正仿宋_GB2312"/>
          <w:color w:val="auto"/>
          <w:kern w:val="0"/>
          <w:sz w:val="32"/>
          <w:szCs w:val="32"/>
          <w:highlight w:val="none"/>
          <w:lang w:eastAsia="zh-CN"/>
        </w:rPr>
        <w:t>的</w:t>
      </w:r>
      <w:r>
        <w:rPr>
          <w:rFonts w:hint="eastAsia" w:ascii="仿宋_GB2312" w:eastAsia="仿宋_GB2312" w:cs="方正仿宋_GB2312"/>
          <w:color w:val="auto"/>
          <w:kern w:val="0"/>
          <w:sz w:val="32"/>
          <w:szCs w:val="32"/>
          <w:highlight w:val="none"/>
        </w:rPr>
        <w:t>业态类型；</w:t>
      </w:r>
    </w:p>
    <w:p w14:paraId="416FEFB1">
      <w:pPr>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Calibri" w:eastAsia="仿宋_GB2312"/>
          <w:color w:val="auto"/>
          <w:sz w:val="32"/>
          <w:szCs w:val="32"/>
          <w:highlight w:val="none"/>
          <w:lang w:eastAsia="zh-CN"/>
        </w:rPr>
        <w:t>（三）</w:t>
      </w:r>
      <w:r>
        <w:rPr>
          <w:rFonts w:hint="eastAsia" w:ascii="仿宋_GB2312" w:hAnsi="Calibri" w:eastAsia="仿宋_GB2312"/>
          <w:color w:val="auto"/>
          <w:sz w:val="32"/>
          <w:szCs w:val="32"/>
          <w:highlight w:val="none"/>
        </w:rPr>
        <w:t>经营场所建筑面积在1000平方米以上，设有独立的销售烟草制品陈列区域，且对内销售的部分</w:t>
      </w:r>
      <w:r>
        <w:rPr>
          <w:rFonts w:hint="eastAsia" w:ascii="仿宋_GB2312" w:eastAsia="仿宋_GB2312" w:cs="方正仿宋_GB2312"/>
          <w:color w:val="auto"/>
          <w:sz w:val="32"/>
          <w:szCs w:val="32"/>
          <w:highlight w:val="none"/>
        </w:rPr>
        <w:t>娱乐服务类业态（</w:t>
      </w:r>
      <w:r>
        <w:rPr>
          <w:rFonts w:hint="eastAsia" w:ascii="仿宋_GB2312" w:hAnsi="Calibri" w:eastAsia="仿宋_GB2312"/>
          <w:color w:val="auto"/>
          <w:sz w:val="32"/>
          <w:szCs w:val="32"/>
          <w:highlight w:val="none"/>
        </w:rPr>
        <w:t>宾馆&lt;酒店&gt;、餐馆）</w:t>
      </w:r>
      <w:r>
        <w:rPr>
          <w:rFonts w:hint="eastAsia" w:ascii="仿宋_GB2312" w:eastAsia="仿宋_GB2312" w:cs="方正仿宋_GB2312"/>
          <w:color w:val="auto"/>
          <w:sz w:val="32"/>
          <w:szCs w:val="32"/>
          <w:highlight w:val="none"/>
          <w:lang w:val="en-US" w:eastAsia="zh-CN"/>
        </w:rPr>
        <w:t>。</w:t>
      </w:r>
    </w:p>
    <w:p w14:paraId="25FBCEA3">
      <w:pPr>
        <w:widowControl/>
        <w:spacing w:before="86" w:line="257" w:lineRule="atLeast"/>
        <w:ind w:firstLine="640"/>
        <w:jc w:val="left"/>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kern w:val="0"/>
          <w:sz w:val="32"/>
          <w:szCs w:val="32"/>
          <w:highlight w:val="none"/>
        </w:rPr>
        <w:t>第二十</w:t>
      </w:r>
      <w:r>
        <w:rPr>
          <w:rFonts w:hint="eastAsia" w:ascii="黑体" w:hAnsi="黑体" w:eastAsia="黑体" w:cs="仿宋_GB2312"/>
          <w:color w:val="auto"/>
          <w:kern w:val="0"/>
          <w:sz w:val="32"/>
          <w:szCs w:val="32"/>
          <w:highlight w:val="none"/>
          <w:lang w:eastAsia="zh-CN"/>
        </w:rPr>
        <w:t>二</w:t>
      </w:r>
      <w:r>
        <w:rPr>
          <w:rFonts w:hint="eastAsia" w:ascii="黑体" w:hAnsi="黑体" w:eastAsia="黑体" w:cs="仿宋_GB2312"/>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经营主体</w:t>
      </w:r>
      <w:r>
        <w:rPr>
          <w:rFonts w:hint="eastAsia" w:ascii="仿宋_GB2312" w:hAnsi="仿宋_GB2312" w:eastAsia="仿宋_GB2312" w:cs="仿宋_GB2312"/>
          <w:color w:val="auto"/>
          <w:sz w:val="32"/>
          <w:szCs w:val="32"/>
          <w:highlight w:val="none"/>
        </w:rPr>
        <w:t>有下列情形之一的，烟草专卖零售许可证在有效期内，在原经营地址重新申领烟草专卖零售许可证的，不受合理布局规划最小市场单元合理指导数和</w:t>
      </w:r>
      <w:r>
        <w:rPr>
          <w:rFonts w:hint="eastAsia" w:ascii="仿宋_GB2312" w:hAnsi="仿宋_GB2312" w:eastAsia="仿宋_GB2312" w:cs="仿宋_GB2312"/>
          <w:color w:val="auto"/>
          <w:sz w:val="32"/>
          <w:szCs w:val="32"/>
          <w:highlight w:val="none"/>
          <w:lang w:eastAsia="zh-CN"/>
        </w:rPr>
        <w:t>间隔距离</w:t>
      </w:r>
      <w:r>
        <w:rPr>
          <w:rFonts w:hint="eastAsia" w:ascii="仿宋_GB2312" w:hAnsi="仿宋_GB2312" w:eastAsia="仿宋_GB2312" w:cs="仿宋_GB2312"/>
          <w:color w:val="auto"/>
          <w:sz w:val="32"/>
          <w:szCs w:val="32"/>
          <w:highlight w:val="none"/>
        </w:rPr>
        <w:t>限制：</w:t>
      </w:r>
    </w:p>
    <w:p w14:paraId="6CC09112">
      <w:pPr>
        <w:widowControl/>
        <w:spacing w:before="86" w:line="257" w:lineRule="atLeast"/>
        <w:ind w:firstLine="640"/>
        <w:jc w:val="left"/>
        <w:rPr>
          <w:rFonts w:hint="eastAsia" w:ascii="仿宋_GB2312" w:eastAsia="仿宋_GB2312" w:cs="方正仿宋_GB2312"/>
          <w:color w:val="auto"/>
          <w:kern w:val="0"/>
          <w:sz w:val="32"/>
          <w:szCs w:val="32"/>
          <w:highlight w:val="none"/>
        </w:rPr>
      </w:pPr>
      <w:r>
        <w:rPr>
          <w:rFonts w:hint="eastAsia" w:ascii="仿宋_GB2312" w:eastAsia="仿宋_GB2312" w:cs="方正仿宋_GB2312"/>
          <w:color w:val="auto"/>
          <w:kern w:val="0"/>
          <w:sz w:val="32"/>
          <w:szCs w:val="32"/>
          <w:highlight w:val="none"/>
          <w:lang w:eastAsia="zh-CN"/>
        </w:rPr>
        <w:t>（一）</w:t>
      </w:r>
      <w:r>
        <w:rPr>
          <w:rFonts w:hint="eastAsia" w:ascii="仿宋_GB2312" w:eastAsia="仿宋_GB2312" w:cs="方正仿宋_GB2312"/>
          <w:color w:val="auto"/>
          <w:kern w:val="0"/>
          <w:sz w:val="32"/>
          <w:szCs w:val="32"/>
          <w:highlight w:val="none"/>
        </w:rPr>
        <w:t>因法院判决、法人或其他组织分立、合并，或个体工商户转型</w:t>
      </w:r>
      <w:r>
        <w:rPr>
          <w:rFonts w:hint="eastAsia" w:ascii="仿宋_GB2312" w:eastAsia="仿宋_GB2312" w:cs="方正仿宋_GB2312"/>
          <w:color w:val="auto"/>
          <w:kern w:val="0"/>
          <w:sz w:val="32"/>
          <w:szCs w:val="32"/>
          <w:highlight w:val="none"/>
          <w:lang w:eastAsia="zh-CN"/>
        </w:rPr>
        <w:t>为企业</w:t>
      </w:r>
      <w:r>
        <w:rPr>
          <w:rFonts w:hint="eastAsia" w:ascii="仿宋_GB2312" w:eastAsia="仿宋_GB2312" w:cs="方正仿宋_GB2312"/>
          <w:color w:val="auto"/>
          <w:kern w:val="0"/>
          <w:sz w:val="32"/>
          <w:szCs w:val="32"/>
          <w:highlight w:val="none"/>
        </w:rPr>
        <w:t>的</w:t>
      </w:r>
      <w:r>
        <w:rPr>
          <w:rFonts w:hint="eastAsia" w:ascii="仿宋_GB2312" w:eastAsia="仿宋_GB2312" w:cs="方正仿宋_GB2312"/>
          <w:color w:val="auto"/>
          <w:kern w:val="0"/>
          <w:sz w:val="32"/>
          <w:szCs w:val="32"/>
          <w:highlight w:val="none"/>
          <w:lang w:val="en-US" w:eastAsia="zh-CN"/>
        </w:rPr>
        <w:t>且经营主体未发生改变</w:t>
      </w:r>
      <w:r>
        <w:rPr>
          <w:rFonts w:hint="eastAsia" w:ascii="仿宋_GB2312" w:eastAsia="仿宋_GB2312" w:cs="方正仿宋_GB2312"/>
          <w:color w:val="auto"/>
          <w:kern w:val="0"/>
          <w:sz w:val="32"/>
          <w:szCs w:val="32"/>
          <w:highlight w:val="none"/>
        </w:rPr>
        <w:t>；</w:t>
      </w:r>
    </w:p>
    <w:p w14:paraId="13EA1B39">
      <w:pPr>
        <w:widowControl/>
        <w:spacing w:before="86" w:line="257" w:lineRule="atLeast"/>
        <w:ind w:firstLine="640"/>
        <w:jc w:val="left"/>
        <w:rPr>
          <w:rFonts w:hint="eastAsia" w:ascii="仿宋_GB2312" w:eastAsia="仿宋_GB2312" w:cs="方正仿宋_GB2312"/>
          <w:color w:val="auto"/>
          <w:kern w:val="0"/>
          <w:sz w:val="32"/>
          <w:szCs w:val="32"/>
          <w:highlight w:val="none"/>
        </w:rPr>
      </w:pPr>
      <w:r>
        <w:rPr>
          <w:rFonts w:hint="eastAsia" w:ascii="仿宋_GB2312" w:eastAsia="仿宋_GB2312" w:cs="方正仿宋_GB2312"/>
          <w:color w:val="auto"/>
          <w:kern w:val="0"/>
          <w:sz w:val="32"/>
          <w:szCs w:val="32"/>
          <w:highlight w:val="none"/>
          <w:lang w:eastAsia="zh-CN"/>
        </w:rPr>
        <w:t>（二）</w:t>
      </w:r>
      <w:r>
        <w:rPr>
          <w:rFonts w:hint="eastAsia" w:ascii="仿宋_GB2312" w:eastAsia="仿宋_GB2312" w:cs="方正仿宋_GB2312"/>
          <w:color w:val="auto"/>
          <w:kern w:val="0"/>
          <w:sz w:val="32"/>
          <w:szCs w:val="32"/>
          <w:highlight w:val="none"/>
        </w:rPr>
        <w:t>家庭经营的持证个体工商户，原持证人死亡或丧失民事行为能力之日起90个自然日内或自烟草专卖局书面通知登记联络员或其他家庭成员之日起30个自然日内，符合申领烟草专卖零售许可证主体资格条件的其家庭成员（配偶、父母</w:t>
      </w:r>
      <w:r>
        <w:rPr>
          <w:rFonts w:hint="eastAsia" w:ascii="仿宋_GB2312" w:eastAsia="仿宋_GB2312" w:cs="方正仿宋_GB2312"/>
          <w:color w:val="auto"/>
          <w:kern w:val="0"/>
          <w:sz w:val="32"/>
          <w:szCs w:val="32"/>
          <w:highlight w:val="none"/>
          <w:lang w:eastAsia="zh-CN"/>
        </w:rPr>
        <w:t>、</w:t>
      </w:r>
      <w:r>
        <w:rPr>
          <w:rFonts w:hint="eastAsia" w:ascii="仿宋_GB2312" w:eastAsia="仿宋_GB2312" w:cs="方正仿宋_GB2312"/>
          <w:color w:val="auto"/>
          <w:kern w:val="0"/>
          <w:sz w:val="32"/>
          <w:szCs w:val="32"/>
          <w:highlight w:val="none"/>
        </w:rPr>
        <w:t>子女之一）在原经营地址继承经营的，凭合法有效证明，可以向烟草专卖局申请重新办理烟草专卖零售许可证。以上述期间截止日的先到日为期间届满标准，期间届满，未申请重新办理烟草专卖零售许可证或申请未获许可的，烟草专卖局将依法注销其烟草专卖零售许可证。弱势群体及优抚政策办理的烟草专卖零售许可证不适用此项规定。</w:t>
      </w:r>
    </w:p>
    <w:p w14:paraId="601DC0CE">
      <w:pPr>
        <w:widowControl/>
        <w:spacing w:before="86" w:line="257" w:lineRule="atLeast"/>
        <w:ind w:firstLine="640"/>
        <w:jc w:val="left"/>
        <w:rPr>
          <w:rFonts w:hint="eastAsia" w:ascii="仿宋_GB2312" w:hAnsi="华文仿宋" w:eastAsia="仿宋_GB2312"/>
          <w:b/>
          <w:bCs/>
          <w:color w:val="auto"/>
          <w:sz w:val="32"/>
          <w:szCs w:val="32"/>
          <w:highlight w:val="none"/>
        </w:rPr>
      </w:pPr>
      <w:r>
        <w:rPr>
          <w:rFonts w:hint="eastAsia" w:ascii="黑体" w:hAnsi="黑体" w:eastAsia="黑体"/>
          <w:bCs/>
          <w:color w:val="auto"/>
          <w:sz w:val="32"/>
          <w:szCs w:val="32"/>
          <w:highlight w:val="none"/>
        </w:rPr>
        <w:t>第二十</w:t>
      </w:r>
      <w:r>
        <w:rPr>
          <w:rFonts w:hint="eastAsia" w:ascii="黑体" w:hAnsi="黑体" w:eastAsia="黑体"/>
          <w:bCs/>
          <w:color w:val="auto"/>
          <w:sz w:val="32"/>
          <w:szCs w:val="32"/>
          <w:highlight w:val="none"/>
          <w:lang w:eastAsia="zh-CN"/>
        </w:rPr>
        <w:t>三</w:t>
      </w:r>
      <w:r>
        <w:rPr>
          <w:rFonts w:hint="eastAsia" w:ascii="黑体" w:hAnsi="黑体" w:eastAsia="黑体"/>
          <w:bCs/>
          <w:color w:val="auto"/>
          <w:sz w:val="32"/>
          <w:szCs w:val="32"/>
          <w:highlight w:val="none"/>
        </w:rPr>
        <w:t>条</w:t>
      </w:r>
      <w:r>
        <w:rPr>
          <w:rFonts w:hint="eastAsia" w:ascii="仿宋_GB2312" w:hAnsi="华文仿宋" w:eastAsia="仿宋_GB2312"/>
          <w:b/>
          <w:bCs/>
          <w:color w:val="auto"/>
          <w:sz w:val="32"/>
          <w:szCs w:val="32"/>
          <w:highlight w:val="none"/>
        </w:rPr>
        <w:t xml:space="preserve">  </w:t>
      </w:r>
      <w:r>
        <w:rPr>
          <w:rFonts w:hint="eastAsia" w:ascii="仿宋_GB2312" w:eastAsia="仿宋_GB2312" w:cs="仿宋_GB2312"/>
          <w:color w:val="auto"/>
          <w:kern w:val="0"/>
          <w:sz w:val="32"/>
          <w:szCs w:val="32"/>
          <w:highlight w:val="none"/>
        </w:rPr>
        <w:t>法律、法规、规章和国家烟草专卖局规定符合特殊情形的。</w:t>
      </w:r>
    </w:p>
    <w:p w14:paraId="095E7E25">
      <w:pPr>
        <w:ind w:firstLine="640" w:firstLineChars="200"/>
        <w:jc w:val="center"/>
        <w:rPr>
          <w:rFonts w:hint="eastAsia" w:ascii="黑体" w:hAnsi="黑体" w:eastAsia="黑体"/>
          <w:color w:val="auto"/>
          <w:sz w:val="32"/>
          <w:szCs w:val="32"/>
          <w:highlight w:val="none"/>
        </w:rPr>
      </w:pPr>
      <w:r>
        <w:rPr>
          <w:rFonts w:hint="eastAsia" w:ascii="黑体" w:hAnsi="黑体" w:eastAsia="黑体"/>
          <w:bCs/>
          <w:color w:val="auto"/>
          <w:sz w:val="32"/>
          <w:szCs w:val="32"/>
          <w:highlight w:val="none"/>
        </w:rPr>
        <w:t>第五章 不予发证情形</w:t>
      </w:r>
    </w:p>
    <w:p w14:paraId="14473BD4">
      <w:pPr>
        <w:widowControl/>
        <w:spacing w:before="86" w:line="257" w:lineRule="atLeast"/>
        <w:ind w:firstLine="640"/>
        <w:jc w:val="left"/>
        <w:rPr>
          <w:rFonts w:hint="eastAsia" w:ascii="Times New Roman" w:hAnsi="Times New Roman" w:eastAsia="仿宋_GB2312" w:cs="仿宋_GB2312"/>
          <w:color w:val="auto"/>
          <w:kern w:val="0"/>
          <w:sz w:val="32"/>
          <w:szCs w:val="32"/>
          <w:highlight w:val="none"/>
        </w:rPr>
      </w:pPr>
      <w:r>
        <w:rPr>
          <w:rFonts w:hint="eastAsia" w:ascii="黑体" w:hAnsi="黑体" w:eastAsia="黑体"/>
          <w:bCs/>
          <w:color w:val="auto"/>
          <w:sz w:val="32"/>
          <w:szCs w:val="32"/>
          <w:highlight w:val="none"/>
        </w:rPr>
        <w:t>第二十</w:t>
      </w:r>
      <w:r>
        <w:rPr>
          <w:rFonts w:hint="eastAsia" w:ascii="黑体" w:hAnsi="黑体" w:eastAsia="黑体"/>
          <w:bCs/>
          <w:color w:val="auto"/>
          <w:sz w:val="32"/>
          <w:szCs w:val="32"/>
          <w:highlight w:val="none"/>
          <w:lang w:eastAsia="zh-CN"/>
        </w:rPr>
        <w:t>四</w:t>
      </w:r>
      <w:r>
        <w:rPr>
          <w:rFonts w:hint="eastAsia" w:ascii="黑体" w:hAnsi="黑体" w:eastAsia="黑体"/>
          <w:bCs/>
          <w:color w:val="auto"/>
          <w:sz w:val="32"/>
          <w:szCs w:val="32"/>
          <w:highlight w:val="none"/>
        </w:rPr>
        <w:t>条</w:t>
      </w:r>
      <w:r>
        <w:rPr>
          <w:rFonts w:hint="eastAsia" w:ascii="仿宋_GB2312" w:hAnsi="华文仿宋" w:eastAsia="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申请主体资格有下列情形之一的，不予发放烟</w:t>
      </w:r>
      <w:r>
        <w:rPr>
          <w:rFonts w:hint="eastAsia" w:ascii="Times New Roman" w:hAnsi="Times New Roman" w:eastAsia="仿宋_GB2312" w:cs="仿宋_GB2312"/>
          <w:color w:val="auto"/>
          <w:kern w:val="0"/>
          <w:sz w:val="32"/>
          <w:szCs w:val="32"/>
          <w:highlight w:val="none"/>
        </w:rPr>
        <w:t>草专卖零售许可证：</w:t>
      </w:r>
    </w:p>
    <w:p w14:paraId="3A3B5234">
      <w:pPr>
        <w:widowControl/>
        <w:spacing w:before="86" w:line="257" w:lineRule="atLeast"/>
        <w:ind w:firstLine="640"/>
        <w:jc w:val="left"/>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（一）未满十八周岁的；</w:t>
      </w:r>
    </w:p>
    <w:p w14:paraId="7A18F916">
      <w:pPr>
        <w:widowControl/>
        <w:spacing w:before="86" w:line="257" w:lineRule="atLeast"/>
        <w:ind w:firstLine="640"/>
        <w:jc w:val="left"/>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（二）无有效营业执照的；</w:t>
      </w:r>
    </w:p>
    <w:p w14:paraId="6A21EB56">
      <w:pPr>
        <w:widowControl/>
        <w:spacing w:before="86" w:line="257" w:lineRule="atLeast"/>
        <w:ind w:firstLine="640"/>
        <w:jc w:val="left"/>
        <w:rPr>
          <w:rFonts w:hint="eastAsia" w:eastAsia="仿宋_GB2312" w:cs="仿宋_GB2312"/>
          <w:color w:val="auto"/>
          <w:kern w:val="0"/>
          <w:sz w:val="32"/>
          <w:szCs w:val="32"/>
          <w:highlight w:val="none"/>
          <w:u w:val="none"/>
        </w:rPr>
      </w:pPr>
      <w:r>
        <w:rPr>
          <w:rFonts w:hint="eastAsia" w:ascii="Times New Roman" w:hAnsi="Times New Roman" w:eastAsia="仿宋_GB2312" w:cs="仿宋_GB2312"/>
          <w:color w:val="auto"/>
          <w:kern w:val="0"/>
          <w:sz w:val="32"/>
          <w:szCs w:val="32"/>
          <w:highlight w:val="none"/>
          <w:u w:val="none"/>
          <w:lang w:eastAsia="zh-CN"/>
        </w:rPr>
        <w:t>（三）</w:t>
      </w:r>
      <w:r>
        <w:rPr>
          <w:rFonts w:hint="eastAsia" w:ascii="Times New Roman" w:hAnsi="Times New Roman" w:eastAsia="仿宋_GB2312" w:cs="仿宋_GB2312"/>
          <w:color w:val="auto"/>
          <w:kern w:val="0"/>
          <w:sz w:val="32"/>
          <w:szCs w:val="32"/>
          <w:highlight w:val="none"/>
          <w:u w:val="none"/>
        </w:rPr>
        <w:t>申请人为无</w:t>
      </w:r>
      <w:r>
        <w:rPr>
          <w:rFonts w:hint="eastAsia" w:eastAsia="仿宋_GB2312" w:cs="仿宋_GB2312"/>
          <w:color w:val="auto"/>
          <w:kern w:val="0"/>
          <w:sz w:val="32"/>
          <w:szCs w:val="32"/>
          <w:highlight w:val="none"/>
          <w:u w:val="none"/>
        </w:rPr>
        <w:t>民事行为能力人或者限制</w:t>
      </w:r>
      <w:r>
        <w:rPr>
          <w:rFonts w:hint="eastAsia" w:eastAsia="仿宋_GB2312" w:cs="仿宋_GB2312"/>
          <w:color w:val="auto"/>
          <w:kern w:val="0"/>
          <w:sz w:val="32"/>
          <w:szCs w:val="32"/>
          <w:highlight w:val="none"/>
          <w:u w:val="none"/>
          <w:lang w:eastAsia="zh-CN"/>
        </w:rPr>
        <w:t>民事</w:t>
      </w:r>
      <w:r>
        <w:rPr>
          <w:rFonts w:hint="eastAsia" w:eastAsia="仿宋_GB2312" w:cs="仿宋_GB2312"/>
          <w:color w:val="auto"/>
          <w:kern w:val="0"/>
          <w:sz w:val="32"/>
          <w:szCs w:val="32"/>
          <w:highlight w:val="none"/>
          <w:u w:val="none"/>
        </w:rPr>
        <w:t xml:space="preserve">行为能力人； </w:t>
      </w:r>
    </w:p>
    <w:p w14:paraId="31E6FD46">
      <w:pPr>
        <w:widowControl/>
        <w:spacing w:before="86" w:line="257" w:lineRule="atLeast"/>
        <w:ind w:firstLine="640"/>
        <w:jc w:val="left"/>
        <w:rPr>
          <w:rFonts w:eastAsia="仿宋_GB2312" w:cs="仿宋_GB2312"/>
          <w:color w:val="auto"/>
          <w:kern w:val="0"/>
          <w:sz w:val="32"/>
          <w:szCs w:val="32"/>
          <w:highlight w:val="none"/>
        </w:rPr>
      </w:pPr>
      <w:r>
        <w:rPr>
          <w:rFonts w:hint="eastAsia" w:eastAsia="仿宋_GB2312" w:cs="仿宋_GB2312"/>
          <w:color w:val="auto"/>
          <w:kern w:val="0"/>
          <w:sz w:val="32"/>
          <w:szCs w:val="32"/>
          <w:highlight w:val="none"/>
        </w:rPr>
        <w:t>（</w:t>
      </w:r>
      <w:r>
        <w:rPr>
          <w:rFonts w:hint="eastAsia" w:eastAsia="仿宋_GB2312" w:cs="仿宋_GB2312"/>
          <w:color w:val="auto"/>
          <w:kern w:val="0"/>
          <w:sz w:val="32"/>
          <w:szCs w:val="32"/>
          <w:highlight w:val="none"/>
          <w:lang w:eastAsia="zh-CN"/>
        </w:rPr>
        <w:t>四</w:t>
      </w:r>
      <w:r>
        <w:rPr>
          <w:rFonts w:hint="eastAsia" w:eastAsia="仿宋_GB2312" w:cs="仿宋_GB2312"/>
          <w:color w:val="auto"/>
          <w:kern w:val="0"/>
          <w:sz w:val="32"/>
          <w:szCs w:val="32"/>
          <w:highlight w:val="none"/>
        </w:rPr>
        <w:t xml:space="preserve">）取消从事烟草专卖业务资格不满三年的； </w:t>
      </w:r>
    </w:p>
    <w:p w14:paraId="25D5E5A5">
      <w:pPr>
        <w:widowControl/>
        <w:spacing w:before="86" w:line="257" w:lineRule="atLeast"/>
        <w:ind w:firstLine="640"/>
        <w:jc w:val="left"/>
        <w:rPr>
          <w:rFonts w:eastAsia="仿宋_GB2312" w:cs="仿宋_GB2312"/>
          <w:color w:val="auto"/>
          <w:kern w:val="0"/>
          <w:sz w:val="32"/>
          <w:szCs w:val="32"/>
          <w:highlight w:val="none"/>
        </w:rPr>
      </w:pPr>
      <w:r>
        <w:rPr>
          <w:rFonts w:hint="eastAsia" w:eastAsia="仿宋_GB2312" w:cs="仿宋_GB2312"/>
          <w:color w:val="auto"/>
          <w:kern w:val="0"/>
          <w:sz w:val="32"/>
          <w:szCs w:val="32"/>
          <w:highlight w:val="none"/>
        </w:rPr>
        <w:t>（</w:t>
      </w:r>
      <w:r>
        <w:rPr>
          <w:rFonts w:hint="eastAsia" w:eastAsia="仿宋_GB2312" w:cs="仿宋_GB2312"/>
          <w:color w:val="auto"/>
          <w:kern w:val="0"/>
          <w:sz w:val="32"/>
          <w:szCs w:val="32"/>
          <w:highlight w:val="none"/>
          <w:lang w:eastAsia="zh-CN"/>
        </w:rPr>
        <w:t>五</w:t>
      </w:r>
      <w:r>
        <w:rPr>
          <w:rFonts w:hint="eastAsia" w:eastAsia="仿宋_GB2312" w:cs="仿宋_GB2312"/>
          <w:color w:val="auto"/>
          <w:kern w:val="0"/>
          <w:sz w:val="32"/>
          <w:szCs w:val="32"/>
          <w:highlight w:val="none"/>
        </w:rPr>
        <w:t>）因申请人隐瞒有关情况或者提供虚假材料，烟草专卖局作出不予受理或者不予发证决定后，申请人一年内再次提出申请的；</w:t>
      </w:r>
    </w:p>
    <w:p w14:paraId="71279452">
      <w:pPr>
        <w:widowControl/>
        <w:spacing w:before="86" w:line="257" w:lineRule="atLeast"/>
        <w:ind w:firstLine="640"/>
        <w:jc w:val="left"/>
        <w:rPr>
          <w:rFonts w:eastAsia="仿宋_GB2312" w:cs="仿宋_GB2312"/>
          <w:color w:val="auto"/>
          <w:kern w:val="0"/>
          <w:sz w:val="32"/>
          <w:szCs w:val="32"/>
          <w:highlight w:val="none"/>
        </w:rPr>
      </w:pPr>
      <w:r>
        <w:rPr>
          <w:rFonts w:hint="eastAsia" w:eastAsia="仿宋_GB2312" w:cs="仿宋_GB2312"/>
          <w:color w:val="auto"/>
          <w:kern w:val="0"/>
          <w:sz w:val="32"/>
          <w:szCs w:val="32"/>
          <w:highlight w:val="none"/>
        </w:rPr>
        <w:t>（</w:t>
      </w:r>
      <w:r>
        <w:rPr>
          <w:rFonts w:hint="eastAsia" w:eastAsia="仿宋_GB2312" w:cs="仿宋_GB2312"/>
          <w:color w:val="auto"/>
          <w:kern w:val="0"/>
          <w:sz w:val="32"/>
          <w:szCs w:val="32"/>
          <w:highlight w:val="none"/>
          <w:lang w:eastAsia="zh-CN"/>
        </w:rPr>
        <w:t>六</w:t>
      </w:r>
      <w:r>
        <w:rPr>
          <w:rFonts w:hint="eastAsia" w:eastAsia="仿宋_GB2312" w:cs="仿宋_GB2312"/>
          <w:color w:val="auto"/>
          <w:kern w:val="0"/>
          <w:sz w:val="32"/>
          <w:szCs w:val="32"/>
          <w:highlight w:val="none"/>
        </w:rPr>
        <w:t>）因申请人以欺骗、贿赂等不正当手段取得的烟草专卖许可证被撤销后，申请人三年内再次提出申请的；</w:t>
      </w:r>
    </w:p>
    <w:p w14:paraId="4838C611">
      <w:pPr>
        <w:widowControl/>
        <w:spacing w:before="86" w:line="257" w:lineRule="atLeast"/>
        <w:ind w:firstLine="640"/>
        <w:jc w:val="left"/>
        <w:rPr>
          <w:rFonts w:eastAsia="仿宋_GB2312" w:cs="仿宋_GB2312"/>
          <w:color w:val="auto"/>
          <w:kern w:val="0"/>
          <w:sz w:val="32"/>
          <w:szCs w:val="32"/>
          <w:highlight w:val="none"/>
        </w:rPr>
      </w:pPr>
      <w:r>
        <w:rPr>
          <w:rFonts w:hint="eastAsia" w:eastAsia="仿宋_GB2312" w:cs="仿宋_GB2312"/>
          <w:color w:val="auto"/>
          <w:kern w:val="0"/>
          <w:sz w:val="32"/>
          <w:szCs w:val="32"/>
          <w:highlight w:val="none"/>
        </w:rPr>
        <w:t>（</w:t>
      </w:r>
      <w:r>
        <w:rPr>
          <w:rFonts w:hint="eastAsia" w:eastAsia="仿宋_GB2312" w:cs="仿宋_GB2312"/>
          <w:color w:val="auto"/>
          <w:kern w:val="0"/>
          <w:sz w:val="32"/>
          <w:szCs w:val="32"/>
          <w:highlight w:val="none"/>
          <w:lang w:eastAsia="zh-CN"/>
        </w:rPr>
        <w:t>七</w:t>
      </w:r>
      <w:r>
        <w:rPr>
          <w:rFonts w:hint="eastAsia" w:eastAsia="仿宋_GB2312" w:cs="仿宋_GB2312"/>
          <w:color w:val="auto"/>
          <w:kern w:val="0"/>
          <w:sz w:val="32"/>
          <w:szCs w:val="32"/>
          <w:highlight w:val="none"/>
        </w:rPr>
        <w:t xml:space="preserve">）未领取烟草专卖零售许可证经营烟草专卖品业务，并且一年内被执法机关处罚两次以上，在三年内申请领取烟草专卖零售许可证的； </w:t>
      </w:r>
    </w:p>
    <w:p w14:paraId="3025395A">
      <w:pPr>
        <w:widowControl/>
        <w:spacing w:before="86" w:line="257" w:lineRule="atLeast"/>
        <w:ind w:firstLine="640"/>
        <w:jc w:val="left"/>
        <w:rPr>
          <w:rFonts w:eastAsia="仿宋_GB2312" w:cs="仿宋_GB2312"/>
          <w:color w:val="auto"/>
          <w:kern w:val="0"/>
          <w:sz w:val="32"/>
          <w:szCs w:val="32"/>
          <w:highlight w:val="none"/>
        </w:rPr>
      </w:pPr>
      <w:r>
        <w:rPr>
          <w:rFonts w:hint="eastAsia" w:eastAsia="仿宋_GB2312" w:cs="仿宋_GB2312"/>
          <w:color w:val="auto"/>
          <w:kern w:val="0"/>
          <w:sz w:val="32"/>
          <w:szCs w:val="32"/>
          <w:highlight w:val="none"/>
        </w:rPr>
        <w:t>（</w:t>
      </w:r>
      <w:r>
        <w:rPr>
          <w:rFonts w:hint="eastAsia" w:eastAsia="仿宋_GB2312" w:cs="仿宋_GB2312"/>
          <w:color w:val="auto"/>
          <w:kern w:val="0"/>
          <w:sz w:val="32"/>
          <w:szCs w:val="32"/>
          <w:highlight w:val="none"/>
          <w:lang w:eastAsia="zh-CN"/>
        </w:rPr>
        <w:t>八</w:t>
      </w:r>
      <w:r>
        <w:rPr>
          <w:rFonts w:hint="eastAsia" w:eastAsia="仿宋_GB2312" w:cs="仿宋_GB2312"/>
          <w:color w:val="auto"/>
          <w:kern w:val="0"/>
          <w:sz w:val="32"/>
          <w:szCs w:val="32"/>
          <w:highlight w:val="none"/>
        </w:rPr>
        <w:t>）未领取烟草专卖零售许可证经营烟草专卖品业务被追究刑事责任，在三年内申请领取烟草专卖零售许可证的；</w:t>
      </w:r>
    </w:p>
    <w:p w14:paraId="1DB1B767">
      <w:pPr>
        <w:widowControl/>
        <w:spacing w:before="86" w:line="257" w:lineRule="atLeast"/>
        <w:ind w:firstLine="640"/>
        <w:jc w:val="left"/>
        <w:rPr>
          <w:rFonts w:hint="eastAsia" w:eastAsia="仿宋_GB2312" w:cs="仿宋_GB2312"/>
          <w:color w:val="auto"/>
          <w:kern w:val="0"/>
          <w:sz w:val="32"/>
          <w:szCs w:val="32"/>
          <w:highlight w:val="none"/>
          <w:u w:val="none"/>
          <w:lang w:eastAsia="zh-CN"/>
        </w:rPr>
      </w:pPr>
      <w:r>
        <w:rPr>
          <w:rFonts w:hint="eastAsia" w:eastAsia="仿宋_GB2312" w:cs="仿宋_GB2312"/>
          <w:color w:val="auto"/>
          <w:kern w:val="0"/>
          <w:sz w:val="32"/>
          <w:szCs w:val="32"/>
          <w:highlight w:val="none"/>
          <w:u w:val="none"/>
        </w:rPr>
        <w:t>（</w:t>
      </w:r>
      <w:r>
        <w:rPr>
          <w:rFonts w:hint="eastAsia" w:eastAsia="仿宋_GB2312" w:cs="仿宋_GB2312"/>
          <w:color w:val="auto"/>
          <w:kern w:val="0"/>
          <w:sz w:val="32"/>
          <w:szCs w:val="32"/>
          <w:highlight w:val="none"/>
          <w:u w:val="none"/>
          <w:lang w:eastAsia="zh-CN"/>
        </w:rPr>
        <w:t>九</w:t>
      </w:r>
      <w:r>
        <w:rPr>
          <w:rFonts w:hint="eastAsia" w:eastAsia="仿宋_GB2312" w:cs="仿宋_GB2312"/>
          <w:color w:val="auto"/>
          <w:kern w:val="0"/>
          <w:sz w:val="32"/>
          <w:szCs w:val="32"/>
          <w:highlight w:val="none"/>
          <w:u w:val="none"/>
        </w:rPr>
        <w:t>）外商投资的商业企业或者个体工商户，</w:t>
      </w:r>
      <w:r>
        <w:rPr>
          <w:rFonts w:hint="eastAsia" w:eastAsia="仿宋_GB2312" w:cs="仿宋_GB2312"/>
          <w:color w:val="auto"/>
          <w:kern w:val="0"/>
          <w:sz w:val="32"/>
          <w:szCs w:val="32"/>
          <w:highlight w:val="none"/>
          <w:u w:val="none"/>
          <w:lang w:eastAsia="zh-CN"/>
        </w:rPr>
        <w:t>及其</w:t>
      </w:r>
      <w:r>
        <w:rPr>
          <w:rFonts w:hint="eastAsia" w:eastAsia="仿宋_GB2312" w:cs="仿宋_GB2312"/>
          <w:color w:val="auto"/>
          <w:kern w:val="0"/>
          <w:sz w:val="32"/>
          <w:szCs w:val="32"/>
          <w:highlight w:val="none"/>
          <w:u w:val="none"/>
        </w:rPr>
        <w:t>以特许、吸纳加盟店及其他再投资等形式变相从事烟草专卖品经营业务的</w:t>
      </w:r>
      <w:r>
        <w:rPr>
          <w:rFonts w:hint="eastAsia" w:eastAsia="仿宋_GB2312" w:cs="仿宋_GB2312"/>
          <w:color w:val="auto"/>
          <w:kern w:val="0"/>
          <w:sz w:val="32"/>
          <w:szCs w:val="32"/>
          <w:highlight w:val="none"/>
          <w:u w:val="none"/>
          <w:lang w:eastAsia="zh-CN"/>
        </w:rPr>
        <w:t>。</w:t>
      </w:r>
    </w:p>
    <w:p w14:paraId="2027EAF9">
      <w:pPr>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bCs/>
          <w:color w:val="auto"/>
          <w:sz w:val="32"/>
          <w:szCs w:val="32"/>
          <w:highlight w:val="none"/>
        </w:rPr>
        <w:t>第二十</w:t>
      </w:r>
      <w:r>
        <w:rPr>
          <w:rFonts w:hint="eastAsia" w:ascii="黑体" w:hAnsi="黑体" w:eastAsia="黑体"/>
          <w:bCs/>
          <w:color w:val="auto"/>
          <w:sz w:val="32"/>
          <w:szCs w:val="32"/>
          <w:highlight w:val="none"/>
          <w:lang w:eastAsia="zh-CN"/>
        </w:rPr>
        <w:t>五</w:t>
      </w:r>
      <w:r>
        <w:rPr>
          <w:rFonts w:hint="eastAsia" w:ascii="黑体" w:hAnsi="黑体" w:eastAsia="黑体"/>
          <w:bCs/>
          <w:color w:val="auto"/>
          <w:sz w:val="32"/>
          <w:szCs w:val="32"/>
          <w:highlight w:val="none"/>
        </w:rPr>
        <w:t xml:space="preserve">条  </w:t>
      </w:r>
      <w:r>
        <w:rPr>
          <w:rFonts w:hint="eastAsia" w:ascii="仿宋_GB2312" w:hAnsi="仿宋_GB2312" w:eastAsia="仿宋_GB2312" w:cs="仿宋_GB2312"/>
          <w:color w:val="auto"/>
          <w:sz w:val="32"/>
          <w:szCs w:val="32"/>
          <w:highlight w:val="none"/>
        </w:rPr>
        <w:t>经营场所有下列情形之一的，不予发放烟草专卖零售许可证：</w:t>
      </w:r>
    </w:p>
    <w:p w14:paraId="69861EFF">
      <w:pPr>
        <w:widowControl/>
        <w:spacing w:before="86" w:line="257" w:lineRule="atLeast"/>
        <w:ind w:firstLine="640"/>
        <w:jc w:val="left"/>
        <w:rPr>
          <w:rFonts w:eastAsia="仿宋_GB2312" w:cs="仿宋_GB2312"/>
          <w:color w:val="auto"/>
          <w:kern w:val="0"/>
          <w:sz w:val="32"/>
          <w:szCs w:val="32"/>
          <w:highlight w:val="none"/>
        </w:rPr>
      </w:pPr>
      <w:r>
        <w:rPr>
          <w:rFonts w:hint="eastAsia" w:eastAsia="仿宋_GB2312" w:cs="仿宋_GB2312"/>
          <w:color w:val="auto"/>
          <w:kern w:val="0"/>
          <w:sz w:val="32"/>
          <w:szCs w:val="32"/>
          <w:highlight w:val="none"/>
        </w:rPr>
        <w:t>（一）同一经营场所已办理烟草专卖零售许可证，且许可证在有效期内的；</w:t>
      </w:r>
    </w:p>
    <w:p w14:paraId="3F6D560F">
      <w:pPr>
        <w:widowControl/>
        <w:ind w:firstLine="640"/>
        <w:textAlignment w:val="baseline"/>
        <w:rPr>
          <w:rFonts w:eastAsia="仿宋_GB2312" w:cs="仿宋_GB2312"/>
          <w:color w:val="auto"/>
          <w:kern w:val="0"/>
          <w:sz w:val="32"/>
          <w:szCs w:val="32"/>
          <w:highlight w:val="none"/>
        </w:rPr>
      </w:pPr>
      <w:r>
        <w:rPr>
          <w:rFonts w:hint="eastAsia" w:eastAsia="仿宋_GB2312" w:cs="仿宋_GB2312"/>
          <w:color w:val="auto"/>
          <w:kern w:val="0"/>
          <w:sz w:val="32"/>
          <w:szCs w:val="32"/>
          <w:highlight w:val="none"/>
        </w:rPr>
        <w:t>（二）无固定经营场所的；</w:t>
      </w:r>
    </w:p>
    <w:p w14:paraId="133698D7">
      <w:pPr>
        <w:widowControl/>
        <w:spacing w:before="86" w:line="257" w:lineRule="atLeast"/>
        <w:ind w:firstLine="640"/>
        <w:jc w:val="left"/>
        <w:rPr>
          <w:rFonts w:eastAsia="仿宋_GB2312" w:cs="仿宋_GB2312"/>
          <w:color w:val="auto"/>
          <w:kern w:val="0"/>
          <w:sz w:val="32"/>
          <w:szCs w:val="32"/>
          <w:highlight w:val="none"/>
        </w:rPr>
      </w:pPr>
      <w:r>
        <w:rPr>
          <w:rFonts w:hint="eastAsia" w:eastAsia="仿宋_GB2312" w:cs="仿宋_GB2312"/>
          <w:color w:val="auto"/>
          <w:kern w:val="0"/>
          <w:sz w:val="32"/>
          <w:szCs w:val="32"/>
          <w:highlight w:val="none"/>
        </w:rPr>
        <w:t xml:space="preserve">（三）经营场所与住所不相独立的； </w:t>
      </w:r>
    </w:p>
    <w:p w14:paraId="26C4E26D">
      <w:pPr>
        <w:widowControl/>
        <w:spacing w:before="86" w:line="257" w:lineRule="atLeast"/>
        <w:ind w:firstLine="640"/>
        <w:jc w:val="left"/>
        <w:rPr>
          <w:rFonts w:hint="eastAsia" w:eastAsia="仿宋_GB2312" w:cs="仿宋_GB2312"/>
          <w:color w:val="auto"/>
          <w:kern w:val="0"/>
          <w:sz w:val="32"/>
          <w:szCs w:val="32"/>
          <w:highlight w:val="none"/>
        </w:rPr>
      </w:pPr>
      <w:r>
        <w:rPr>
          <w:rFonts w:hint="eastAsia" w:eastAsia="仿宋_GB2312" w:cs="仿宋_GB2312"/>
          <w:color w:val="auto"/>
          <w:kern w:val="0"/>
          <w:sz w:val="32"/>
          <w:szCs w:val="32"/>
          <w:highlight w:val="none"/>
        </w:rPr>
        <w:t>（四）经营场所基于安全因素不适宜经营卷烟的；</w:t>
      </w:r>
    </w:p>
    <w:p w14:paraId="0A463117">
      <w:pPr>
        <w:widowControl/>
        <w:spacing w:before="86" w:line="257" w:lineRule="atLeast"/>
        <w:ind w:firstLine="640"/>
        <w:jc w:val="left"/>
        <w:rPr>
          <w:rFonts w:hint="eastAsia" w:eastAsia="仿宋_GB2312" w:cs="仿宋_GB2312"/>
          <w:color w:val="auto"/>
          <w:kern w:val="0"/>
          <w:sz w:val="32"/>
          <w:szCs w:val="32"/>
          <w:highlight w:val="none"/>
          <w:u w:val="none"/>
          <w:lang w:val="en-US" w:eastAsia="zh-CN"/>
        </w:rPr>
      </w:pPr>
      <w:r>
        <w:rPr>
          <w:rFonts w:hint="eastAsia" w:eastAsia="仿宋_GB2312" w:cs="仿宋_GB2312"/>
          <w:color w:val="auto"/>
          <w:kern w:val="0"/>
          <w:sz w:val="32"/>
          <w:szCs w:val="32"/>
          <w:highlight w:val="none"/>
          <w:u w:val="none"/>
          <w:lang w:eastAsia="zh-CN"/>
        </w:rPr>
        <w:t>（五）</w:t>
      </w:r>
      <w:r>
        <w:rPr>
          <w:rFonts w:hint="eastAsia" w:eastAsia="仿宋_GB2312" w:cs="仿宋_GB2312"/>
          <w:color w:val="auto"/>
          <w:kern w:val="0"/>
          <w:sz w:val="32"/>
          <w:szCs w:val="32"/>
          <w:highlight w:val="none"/>
          <w:u w:val="none"/>
          <w:lang w:val="en-US" w:eastAsia="zh-CN"/>
        </w:rPr>
        <w:t>中小学校内部及正常进出通道口向外延伸间隔距离100米以内的</w:t>
      </w:r>
      <w:r>
        <w:rPr>
          <w:rFonts w:hint="default" w:eastAsia="仿宋_GB2312" w:cs="仿宋_GB2312"/>
          <w:color w:val="auto"/>
          <w:kern w:val="0"/>
          <w:sz w:val="32"/>
          <w:szCs w:val="32"/>
          <w:highlight w:val="none"/>
          <w:u w:val="none"/>
          <w:lang w:val="en-US" w:eastAsia="zh-CN"/>
        </w:rPr>
        <w:t>区域</w:t>
      </w:r>
      <w:r>
        <w:rPr>
          <w:rFonts w:hint="eastAsia" w:eastAsia="仿宋_GB2312" w:cs="仿宋_GB2312"/>
          <w:color w:val="auto"/>
          <w:kern w:val="0"/>
          <w:sz w:val="32"/>
          <w:szCs w:val="32"/>
          <w:highlight w:val="none"/>
          <w:u w:val="none"/>
          <w:lang w:val="en-US" w:eastAsia="zh-CN"/>
        </w:rPr>
        <w:t>，幼儿园内部及正常进出通道口向外延伸间隔距离60米以内的</w:t>
      </w:r>
      <w:r>
        <w:rPr>
          <w:rFonts w:hint="default" w:eastAsia="仿宋_GB2312" w:cs="仿宋_GB2312"/>
          <w:color w:val="auto"/>
          <w:kern w:val="0"/>
          <w:sz w:val="32"/>
          <w:szCs w:val="32"/>
          <w:highlight w:val="none"/>
          <w:u w:val="none"/>
          <w:lang w:val="en-US" w:eastAsia="zh-CN"/>
        </w:rPr>
        <w:t>区域</w:t>
      </w:r>
      <w:r>
        <w:rPr>
          <w:rFonts w:hint="eastAsia" w:eastAsia="仿宋_GB2312" w:cs="仿宋_GB2312"/>
          <w:color w:val="auto"/>
          <w:kern w:val="0"/>
          <w:sz w:val="32"/>
          <w:szCs w:val="32"/>
          <w:highlight w:val="none"/>
          <w:u w:val="none"/>
          <w:lang w:val="en-US" w:eastAsia="zh-CN"/>
        </w:rPr>
        <w:t>；</w:t>
      </w:r>
    </w:p>
    <w:p w14:paraId="59EEF8C9">
      <w:pPr>
        <w:widowControl/>
        <w:spacing w:before="86" w:line="257" w:lineRule="atLeast"/>
        <w:ind w:firstLine="640"/>
        <w:jc w:val="left"/>
        <w:rPr>
          <w:rFonts w:hint="eastAsia" w:ascii="仿宋_GB2312" w:hAnsi="仿宋_GB2312" w:eastAsia="仿宋_GB2312" w:cs="仿宋_GB2312"/>
          <w:color w:val="auto"/>
          <w:sz w:val="32"/>
          <w:szCs w:val="32"/>
          <w:highlight w:val="none"/>
          <w:lang w:eastAsia="zh-CN"/>
        </w:rPr>
      </w:pPr>
      <w:r>
        <w:rPr>
          <w:rFonts w:hint="eastAsia" w:eastAsia="仿宋_GB2312" w:cs="方正仿宋_GB2312"/>
          <w:color w:val="auto"/>
          <w:sz w:val="32"/>
          <w:szCs w:val="32"/>
          <w:lang w:eastAsia="zh-CN"/>
        </w:rPr>
        <w:t>（六）</w:t>
      </w:r>
      <w:r>
        <w:rPr>
          <w:rFonts w:hint="eastAsia" w:eastAsia="仿宋_GB2312" w:cs="方正仿宋_GB2312"/>
          <w:color w:val="auto"/>
          <w:sz w:val="32"/>
          <w:szCs w:val="32"/>
        </w:rPr>
        <w:t>主营业务</w:t>
      </w:r>
      <w:r>
        <w:rPr>
          <w:rFonts w:hint="eastAsia" w:eastAsia="仿宋_GB2312"/>
          <w:color w:val="auto"/>
          <w:sz w:val="32"/>
          <w:szCs w:val="32"/>
        </w:rPr>
        <w:t>与销售食品、饮料、烟酒及日用品等综合性商品无关，且</w:t>
      </w:r>
      <w:r>
        <w:rPr>
          <w:rFonts w:hint="eastAsia" w:eastAsia="仿宋_GB2312" w:cs="方正仿宋_GB2312"/>
          <w:color w:val="auto"/>
          <w:sz w:val="32"/>
          <w:szCs w:val="32"/>
        </w:rPr>
        <w:t>与烟草制品零售业务没有直接或间接互补营销关系的“其他”类业态，如：</w:t>
      </w:r>
      <w:r>
        <w:rPr>
          <w:rFonts w:hint="eastAsia" w:ascii="仿宋_GB2312" w:eastAsia="仿宋_GB2312"/>
          <w:color w:val="auto"/>
          <w:sz w:val="32"/>
          <w:szCs w:val="32"/>
        </w:rPr>
        <w:t>学生用品、文化体育、传真打印、美容美发、按摩推拿</w:t>
      </w:r>
      <w:r>
        <w:rPr>
          <w:rFonts w:hint="eastAsia" w:ascii="仿宋_GB2312" w:hAnsi="仿宋_GB2312" w:eastAsia="仿宋_GB2312" w:cs="仿宋_GB2312"/>
          <w:color w:val="auto"/>
          <w:sz w:val="32"/>
          <w:szCs w:val="32"/>
          <w:highlight w:val="none"/>
        </w:rPr>
        <w:t>、化妆洗涤、药妆医械、五金建材、装修装饰、家电家具、床上用品、电子音像、服饰鞋帽、金银珠宝、汽车销售、修理修配、寄递配送、中介劳服、寄卖典当、金融证券、仪器仪表、通信器材、农具农资、农畜养殖、照相馆、宠物店、渔具店、旅行社、蛋糕店等</w:t>
      </w:r>
      <w:r>
        <w:rPr>
          <w:rFonts w:hint="eastAsia" w:ascii="仿宋_GB2312" w:hAnsi="仿宋_GB2312" w:eastAsia="仿宋_GB2312" w:cs="仿宋_GB2312"/>
          <w:color w:val="auto"/>
          <w:sz w:val="32"/>
          <w:szCs w:val="32"/>
          <w:highlight w:val="none"/>
          <w:lang w:eastAsia="zh-CN"/>
        </w:rPr>
        <w:t>；</w:t>
      </w:r>
    </w:p>
    <w:p w14:paraId="11E5E4D1">
      <w:pPr>
        <w:widowControl/>
        <w:spacing w:before="86" w:line="257" w:lineRule="atLeast"/>
        <w:ind w:firstLine="64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）法律、法规、规章和国家烟草专卖局规定不予发证的情形。</w:t>
      </w:r>
    </w:p>
    <w:p w14:paraId="7D043BDD">
      <w:pPr>
        <w:widowControl/>
        <w:spacing w:before="86" w:line="257" w:lineRule="atLeast"/>
        <w:ind w:firstLine="640"/>
        <w:jc w:val="left"/>
        <w:rPr>
          <w:rFonts w:hint="eastAsia" w:ascii="仿宋_GB2312" w:hAnsi="仿宋_GB2312" w:eastAsia="仿宋_GB2312" w:cs="仿宋_GB2312"/>
          <w:color w:val="auto"/>
          <w:sz w:val="30"/>
          <w:szCs w:val="30"/>
          <w:highlight w:val="none"/>
        </w:rPr>
      </w:pPr>
      <w:r>
        <w:rPr>
          <w:rFonts w:hint="eastAsia" w:ascii="黑体" w:hAnsi="黑体" w:eastAsia="黑体"/>
          <w:bCs/>
          <w:color w:val="auto"/>
          <w:sz w:val="32"/>
          <w:szCs w:val="32"/>
          <w:highlight w:val="none"/>
        </w:rPr>
        <w:t>第二十</w:t>
      </w:r>
      <w:r>
        <w:rPr>
          <w:rFonts w:hint="eastAsia" w:ascii="黑体" w:hAnsi="黑体" w:eastAsia="黑体"/>
          <w:bCs/>
          <w:color w:val="auto"/>
          <w:sz w:val="32"/>
          <w:szCs w:val="32"/>
          <w:highlight w:val="none"/>
          <w:lang w:eastAsia="zh-CN"/>
        </w:rPr>
        <w:t>六</w:t>
      </w:r>
      <w:r>
        <w:rPr>
          <w:rFonts w:hint="eastAsia" w:ascii="黑体" w:hAnsi="黑体" w:eastAsia="黑体"/>
          <w:bCs/>
          <w:color w:val="auto"/>
          <w:sz w:val="32"/>
          <w:szCs w:val="32"/>
          <w:highlight w:val="none"/>
        </w:rPr>
        <w:t>条</w:t>
      </w:r>
      <w:r>
        <w:rPr>
          <w:rFonts w:hint="eastAsia" w:ascii="黑体" w:hAnsi="黑体" w:eastAsia="黑体"/>
          <w:color w:val="auto"/>
          <w:sz w:val="32"/>
          <w:szCs w:val="32"/>
          <w:highlight w:val="none"/>
        </w:rPr>
        <w:t xml:space="preserve">  </w:t>
      </w:r>
      <w:r>
        <w:rPr>
          <w:rFonts w:hint="eastAsia" w:ascii="仿宋_GB2312" w:hAnsi="仿宋_GB2312" w:eastAsia="仿宋_GB2312" w:cs="仿宋_GB2312"/>
          <w:color w:val="auto"/>
          <w:sz w:val="32"/>
          <w:szCs w:val="32"/>
          <w:highlight w:val="none"/>
        </w:rPr>
        <w:t>经营模式有下列情形之一的，不予发放烟草专卖零售许可证：</w:t>
      </w:r>
    </w:p>
    <w:p w14:paraId="01BB24D2">
      <w:pPr>
        <w:widowControl/>
        <w:spacing w:before="86" w:line="257" w:lineRule="atLeast"/>
        <w:ind w:firstLine="640"/>
        <w:jc w:val="left"/>
        <w:rPr>
          <w:rFonts w:eastAsia="仿宋_GB2312" w:cs="微软雅黑"/>
          <w:color w:val="auto"/>
          <w:sz w:val="32"/>
          <w:szCs w:val="32"/>
          <w:highlight w:val="none"/>
        </w:rPr>
      </w:pPr>
      <w:r>
        <w:rPr>
          <w:rFonts w:hint="eastAsia" w:eastAsia="仿宋_GB2312" w:cs="仿宋_GB2312"/>
          <w:color w:val="auto"/>
          <w:kern w:val="0"/>
          <w:sz w:val="32"/>
          <w:szCs w:val="32"/>
          <w:highlight w:val="none"/>
        </w:rPr>
        <w:t>（一）利用自动售货机（柜）、无人售卖店或者其他自动售货形式销售烟草制品的；</w:t>
      </w:r>
    </w:p>
    <w:p w14:paraId="059CE172">
      <w:pPr>
        <w:widowControl/>
        <w:spacing w:before="86" w:line="257" w:lineRule="atLeast"/>
        <w:ind w:firstLine="640"/>
        <w:jc w:val="left"/>
        <w:rPr>
          <w:rFonts w:eastAsia="仿宋_GB2312" w:cs="仿宋_GB2312"/>
          <w:color w:val="auto"/>
          <w:kern w:val="0"/>
          <w:sz w:val="32"/>
          <w:szCs w:val="32"/>
          <w:highlight w:val="none"/>
        </w:rPr>
      </w:pPr>
      <w:r>
        <w:rPr>
          <w:rFonts w:hint="eastAsia" w:eastAsia="仿宋_GB2312" w:cs="仿宋_GB2312"/>
          <w:color w:val="auto"/>
          <w:kern w:val="0"/>
          <w:sz w:val="32"/>
          <w:szCs w:val="32"/>
          <w:highlight w:val="none"/>
        </w:rPr>
        <w:t>（二）利用游戏、博彩等设备或方式变相销售烟草制品的；</w:t>
      </w:r>
    </w:p>
    <w:p w14:paraId="079D6434">
      <w:pPr>
        <w:widowControl/>
        <w:spacing w:before="86" w:line="257" w:lineRule="atLeast"/>
        <w:ind w:firstLine="640" w:firstLineChars="200"/>
        <w:jc w:val="left"/>
        <w:rPr>
          <w:rFonts w:hint="eastAsia" w:eastAsia="仿宋_GB2312" w:cs="仿宋_GB2312"/>
          <w:color w:val="auto"/>
          <w:kern w:val="0"/>
          <w:sz w:val="32"/>
          <w:szCs w:val="32"/>
          <w:highlight w:val="none"/>
          <w:lang w:eastAsia="zh-CN"/>
        </w:rPr>
      </w:pPr>
      <w:r>
        <w:rPr>
          <w:rFonts w:hint="eastAsia" w:eastAsia="仿宋_GB2312" w:cs="仿宋_GB2312"/>
          <w:color w:val="auto"/>
          <w:kern w:val="0"/>
          <w:sz w:val="32"/>
          <w:szCs w:val="32"/>
          <w:highlight w:val="none"/>
        </w:rPr>
        <w:t>（三）利用信息网络渠道销售烟草制品的</w:t>
      </w:r>
      <w:r>
        <w:rPr>
          <w:rFonts w:hint="eastAsia" w:eastAsia="仿宋_GB2312" w:cs="仿宋_GB2312"/>
          <w:color w:val="auto"/>
          <w:kern w:val="0"/>
          <w:sz w:val="32"/>
          <w:szCs w:val="32"/>
          <w:highlight w:val="none"/>
          <w:lang w:eastAsia="zh-CN"/>
        </w:rPr>
        <w:t>；</w:t>
      </w:r>
    </w:p>
    <w:p w14:paraId="530E6028">
      <w:pPr>
        <w:widowControl/>
        <w:spacing w:before="86" w:line="257" w:lineRule="atLeast"/>
        <w:ind w:firstLine="640"/>
        <w:jc w:val="left"/>
        <w:rPr>
          <w:rFonts w:hint="eastAsia" w:ascii="仿宋_GB2312" w:eastAsia="仿宋_GB2312" w:cs="仿宋_GB2312"/>
          <w:color w:val="auto"/>
          <w:kern w:val="0"/>
          <w:sz w:val="32"/>
          <w:szCs w:val="32"/>
          <w:highlight w:val="none"/>
        </w:rPr>
      </w:pPr>
      <w:r>
        <w:rPr>
          <w:rFonts w:hint="eastAsia" w:eastAsia="仿宋_GB2312" w:cs="仿宋_GB2312"/>
          <w:color w:val="auto"/>
          <w:kern w:val="0"/>
          <w:sz w:val="32"/>
          <w:szCs w:val="32"/>
          <w:highlight w:val="none"/>
        </w:rPr>
        <w:t>（</w:t>
      </w:r>
      <w:r>
        <w:rPr>
          <w:rFonts w:hint="eastAsia" w:eastAsia="仿宋_GB2312" w:cs="仿宋_GB2312"/>
          <w:color w:val="auto"/>
          <w:kern w:val="0"/>
          <w:sz w:val="32"/>
          <w:szCs w:val="32"/>
          <w:highlight w:val="none"/>
          <w:lang w:eastAsia="zh-CN"/>
        </w:rPr>
        <w:t>四</w:t>
      </w:r>
      <w:r>
        <w:rPr>
          <w:rFonts w:hint="eastAsia"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rPr>
        <w:t>法律、法规、规章和国家烟草专卖局规定不予发证的情形。</w:t>
      </w:r>
    </w:p>
    <w:p w14:paraId="700359E5">
      <w:pPr>
        <w:tabs>
          <w:tab w:val="center" w:pos="4153"/>
          <w:tab w:val="left" w:pos="7820"/>
          <w:tab w:val="right" w:pos="8306"/>
        </w:tabs>
        <w:spacing w:line="590" w:lineRule="exact"/>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第六章  其他规定</w:t>
      </w:r>
    </w:p>
    <w:p w14:paraId="5A7E1896">
      <w:pPr>
        <w:widowControl/>
        <w:spacing w:before="86" w:line="257" w:lineRule="atLeast"/>
        <w:ind w:firstLine="640"/>
        <w:jc w:val="left"/>
        <w:rPr>
          <w:rFonts w:hint="eastAsia" w:eastAsia="仿宋_GB2312" w:cs="方正仿宋_GB2312"/>
          <w:color w:val="auto"/>
          <w:sz w:val="32"/>
          <w:szCs w:val="32"/>
          <w:highlight w:val="none"/>
        </w:rPr>
      </w:pPr>
      <w:r>
        <w:rPr>
          <w:rFonts w:hint="eastAsia" w:ascii="黑体" w:hAnsi="黑体" w:eastAsia="黑体" w:cs="方正仿宋_GB2312"/>
          <w:color w:val="auto"/>
          <w:sz w:val="32"/>
          <w:szCs w:val="32"/>
          <w:highlight w:val="none"/>
        </w:rPr>
        <w:t>第</w:t>
      </w:r>
      <w:r>
        <w:rPr>
          <w:rFonts w:hint="eastAsia" w:ascii="黑体" w:hAnsi="黑体" w:eastAsia="黑体" w:cs="方正仿宋_GB2312"/>
          <w:color w:val="auto"/>
          <w:sz w:val="32"/>
          <w:szCs w:val="32"/>
          <w:highlight w:val="none"/>
          <w:lang w:eastAsia="zh-CN"/>
        </w:rPr>
        <w:t>二十七</w:t>
      </w:r>
      <w:r>
        <w:rPr>
          <w:rFonts w:hint="eastAsia" w:ascii="黑体" w:hAnsi="黑体" w:eastAsia="黑体" w:cs="方正仿宋_GB2312"/>
          <w:color w:val="auto"/>
          <w:sz w:val="32"/>
          <w:szCs w:val="32"/>
          <w:highlight w:val="none"/>
        </w:rPr>
        <w:t>条</w:t>
      </w:r>
      <w:r>
        <w:rPr>
          <w:rFonts w:hint="eastAsia" w:eastAsia="仿宋_GB2312" w:cs="方正仿宋_GB2312"/>
          <w:color w:val="auto"/>
          <w:sz w:val="32"/>
          <w:szCs w:val="32"/>
          <w:highlight w:val="none"/>
        </w:rPr>
        <w:t xml:space="preserve">  申请烟草专卖零售许可证经营范围为“雪茄烟本店零售”的雪茄专营零售点，不受所在最小市场单元指导数及</w:t>
      </w:r>
      <w:r>
        <w:rPr>
          <w:rFonts w:hint="eastAsia" w:eastAsia="仿宋_GB2312" w:cs="方正仿宋_GB2312"/>
          <w:color w:val="auto"/>
          <w:sz w:val="32"/>
          <w:szCs w:val="32"/>
          <w:highlight w:val="none"/>
          <w:lang w:eastAsia="zh-CN"/>
        </w:rPr>
        <w:t>间隔距离</w:t>
      </w:r>
      <w:r>
        <w:rPr>
          <w:rFonts w:hint="eastAsia" w:eastAsia="仿宋_GB2312" w:cs="方正仿宋_GB2312"/>
          <w:color w:val="auto"/>
          <w:sz w:val="32"/>
          <w:szCs w:val="32"/>
          <w:highlight w:val="none"/>
        </w:rPr>
        <w:t>限制，如需变更其烟草专卖零售许可证经营范围的，应符合合理布局的规定。</w:t>
      </w:r>
    </w:p>
    <w:p w14:paraId="39A0E111">
      <w:pPr>
        <w:spacing w:before="156" w:beforeLines="50" w:line="360" w:lineRule="auto"/>
        <w:ind w:firstLine="640" w:firstLineChars="200"/>
        <w:jc w:val="center"/>
        <w:rPr>
          <w:rFonts w:hint="eastAsia" w:ascii="黑体" w:hAnsi="黑体" w:eastAsia="黑体"/>
          <w:bCs/>
          <w:color w:val="auto"/>
          <w:sz w:val="32"/>
          <w:szCs w:val="32"/>
          <w:highlight w:val="none"/>
        </w:rPr>
      </w:pPr>
      <w:r>
        <w:rPr>
          <w:rFonts w:hint="eastAsia" w:ascii="黑体" w:hAnsi="黑体" w:eastAsia="黑体"/>
          <w:bCs/>
          <w:color w:val="auto"/>
          <w:sz w:val="32"/>
          <w:szCs w:val="32"/>
          <w:highlight w:val="none"/>
        </w:rPr>
        <w:t>第七章 附  则</w:t>
      </w:r>
    </w:p>
    <w:p w14:paraId="45BA3659">
      <w:pPr>
        <w:ind w:firstLine="640" w:firstLineChars="200"/>
        <w:rPr>
          <w:rFonts w:hint="eastAsia" w:ascii="仿宋_GB2312" w:eastAsia="仿宋_GB2312"/>
          <w:color w:val="auto"/>
          <w:sz w:val="32"/>
          <w:szCs w:val="32"/>
          <w:highlight w:val="none"/>
        </w:rPr>
      </w:pPr>
      <w:r>
        <w:rPr>
          <w:rFonts w:hint="eastAsia" w:ascii="黑体" w:hAnsi="黑体" w:eastAsia="黑体"/>
          <w:bCs/>
          <w:color w:val="auto"/>
          <w:sz w:val="32"/>
          <w:szCs w:val="32"/>
          <w:highlight w:val="none"/>
          <w:lang w:eastAsia="zh-CN"/>
        </w:rPr>
        <w:t>第二十八</w:t>
      </w:r>
      <w:r>
        <w:rPr>
          <w:rFonts w:hint="eastAsia" w:ascii="黑体" w:hAnsi="黑体" w:eastAsia="黑体"/>
          <w:bCs/>
          <w:color w:val="auto"/>
          <w:sz w:val="32"/>
          <w:szCs w:val="32"/>
          <w:highlight w:val="none"/>
        </w:rPr>
        <w:t>条</w:t>
      </w:r>
      <w:r>
        <w:rPr>
          <w:rFonts w:hint="eastAsia" w:eastAsia="仿宋_GB2312" w:cs="方正仿宋_GB2312"/>
          <w:color w:val="auto"/>
          <w:sz w:val="32"/>
          <w:szCs w:val="32"/>
          <w:highlight w:val="none"/>
        </w:rPr>
        <w:t xml:space="preserve">  本规划所称的“</w:t>
      </w:r>
      <w:r>
        <w:rPr>
          <w:rFonts w:hint="eastAsia" w:eastAsia="仿宋_GB2312" w:cs="方正仿宋_GB2312"/>
          <w:color w:val="auto"/>
          <w:sz w:val="32"/>
          <w:szCs w:val="32"/>
          <w:highlight w:val="none"/>
          <w:lang w:eastAsia="zh-CN"/>
        </w:rPr>
        <w:t>间隔距离</w:t>
      </w:r>
      <w:r>
        <w:rPr>
          <w:rFonts w:hint="eastAsia" w:eastAsia="仿宋_GB2312" w:cs="方正仿宋_GB2312"/>
          <w:color w:val="auto"/>
          <w:sz w:val="32"/>
          <w:szCs w:val="32"/>
          <w:highlight w:val="none"/>
        </w:rPr>
        <w:t>”，</w:t>
      </w:r>
      <w:r>
        <w:rPr>
          <w:rFonts w:hint="eastAsia" w:ascii="仿宋_GB2312" w:eastAsia="仿宋_GB2312"/>
          <w:color w:val="auto"/>
          <w:sz w:val="32"/>
          <w:szCs w:val="32"/>
          <w:highlight w:val="none"/>
        </w:rPr>
        <w:t>根据《</w:t>
      </w:r>
      <w:r>
        <w:rPr>
          <w:rFonts w:hint="eastAsia" w:ascii="仿宋_GB2312" w:eastAsia="仿宋_GB2312"/>
          <w:color w:val="auto"/>
          <w:sz w:val="32"/>
          <w:szCs w:val="32"/>
          <w:highlight w:val="none"/>
          <w:lang w:eastAsia="zh-CN"/>
        </w:rPr>
        <w:t>集贤县</w:t>
      </w:r>
      <w:r>
        <w:rPr>
          <w:rFonts w:hint="eastAsia" w:eastAsia="仿宋_GB2312" w:cs="方正仿宋_GB2312"/>
          <w:color w:val="auto"/>
          <w:sz w:val="32"/>
          <w:szCs w:val="32"/>
          <w:highlight w:val="none"/>
        </w:rPr>
        <w:t>烟草制品零售点现场测量标准</w:t>
      </w:r>
      <w:r>
        <w:rPr>
          <w:rFonts w:hint="eastAsia" w:ascii="仿宋_GB2312" w:eastAsia="仿宋_GB2312"/>
          <w:color w:val="auto"/>
          <w:sz w:val="32"/>
          <w:szCs w:val="32"/>
          <w:highlight w:val="none"/>
        </w:rPr>
        <w:t>》进行测量。</w:t>
      </w:r>
    </w:p>
    <w:p w14:paraId="22CA3232">
      <w:pPr>
        <w:ind w:firstLine="640" w:firstLineChars="200"/>
        <w:rPr>
          <w:rFonts w:hint="eastAsia" w:eastAsia="仿宋_GB2312" w:cs="方正仿宋_GB2312"/>
          <w:color w:val="auto"/>
          <w:sz w:val="32"/>
          <w:szCs w:val="32"/>
          <w:highlight w:val="none"/>
        </w:rPr>
      </w:pPr>
      <w:r>
        <w:rPr>
          <w:rFonts w:hint="eastAsia" w:ascii="黑体" w:hAnsi="黑体" w:eastAsia="黑体"/>
          <w:bCs/>
          <w:color w:val="auto"/>
          <w:sz w:val="32"/>
          <w:szCs w:val="32"/>
          <w:highlight w:val="none"/>
        </w:rPr>
        <w:t>第</w:t>
      </w:r>
      <w:r>
        <w:rPr>
          <w:rFonts w:hint="eastAsia" w:ascii="黑体" w:hAnsi="黑体" w:eastAsia="黑体"/>
          <w:bCs/>
          <w:color w:val="auto"/>
          <w:sz w:val="32"/>
          <w:szCs w:val="32"/>
          <w:highlight w:val="none"/>
          <w:lang w:eastAsia="zh-CN"/>
        </w:rPr>
        <w:t>二十九</w:t>
      </w:r>
      <w:r>
        <w:rPr>
          <w:rFonts w:hint="eastAsia" w:ascii="黑体" w:hAnsi="黑体" w:eastAsia="黑体"/>
          <w:bCs/>
          <w:color w:val="auto"/>
          <w:sz w:val="32"/>
          <w:szCs w:val="32"/>
          <w:highlight w:val="none"/>
        </w:rPr>
        <w:t>条</w:t>
      </w:r>
      <w:r>
        <w:rPr>
          <w:rFonts w:hint="eastAsia" w:eastAsia="仿宋_GB2312" w:cs="方正仿宋_GB2312"/>
          <w:color w:val="auto"/>
          <w:sz w:val="32"/>
          <w:szCs w:val="32"/>
          <w:highlight w:val="none"/>
        </w:rPr>
        <w:t xml:space="preserve">  本规划所称的“经营场所建筑面积”，是指以不动产证明登记</w:t>
      </w:r>
      <w:r>
        <w:rPr>
          <w:rFonts w:hint="eastAsia" w:eastAsia="仿宋_GB2312" w:cs="方正仿宋_GB2312"/>
          <w:color w:val="auto"/>
          <w:sz w:val="32"/>
          <w:szCs w:val="32"/>
          <w:highlight w:val="none"/>
          <w:lang w:eastAsia="zh-CN"/>
        </w:rPr>
        <w:t>（或相关合法证明材料）</w:t>
      </w:r>
      <w:r>
        <w:rPr>
          <w:rFonts w:hint="eastAsia" w:eastAsia="仿宋_GB2312" w:cs="方正仿宋_GB2312"/>
          <w:color w:val="auto"/>
          <w:sz w:val="32"/>
          <w:szCs w:val="32"/>
          <w:highlight w:val="none"/>
        </w:rPr>
        <w:t>的该经营场所建筑面积为准，如申请的经营场所属于大型综合楼体一部分的，应同时提供证明该经营场所建筑面积的证明。</w:t>
      </w:r>
    </w:p>
    <w:p w14:paraId="2F607EB5">
      <w:pPr>
        <w:tabs>
          <w:tab w:val="center" w:pos="4153"/>
          <w:tab w:val="left" w:pos="7820"/>
          <w:tab w:val="right" w:pos="8306"/>
        </w:tabs>
        <w:spacing w:line="590" w:lineRule="exact"/>
        <w:ind w:firstLine="640" w:firstLineChars="200"/>
        <w:jc w:val="left"/>
        <w:rPr>
          <w:rFonts w:hint="eastAsia" w:eastAsia="仿宋_GB2312" w:cs="方正仿宋_GB2312"/>
          <w:color w:val="auto"/>
          <w:sz w:val="32"/>
          <w:szCs w:val="32"/>
          <w:highlight w:val="none"/>
        </w:rPr>
      </w:pPr>
      <w:r>
        <w:rPr>
          <w:rFonts w:hint="eastAsia" w:ascii="黑体" w:hAnsi="黑体" w:eastAsia="黑体"/>
          <w:bCs/>
          <w:color w:val="auto"/>
          <w:sz w:val="32"/>
          <w:szCs w:val="32"/>
          <w:highlight w:val="none"/>
        </w:rPr>
        <w:t>第三十条</w:t>
      </w:r>
      <w:r>
        <w:rPr>
          <w:rFonts w:hint="eastAsia" w:ascii="仿宋_GB2312" w:hAnsi="仿宋_GB2312" w:eastAsia="仿宋_GB2312" w:cs="仿宋_GB2312"/>
          <w:color w:val="auto"/>
          <w:kern w:val="0"/>
          <w:sz w:val="32"/>
          <w:szCs w:val="32"/>
          <w:highlight w:val="none"/>
        </w:rPr>
        <w:t xml:space="preserve">  本规划所称的“固定经营场所”，是指由砖、木、钢及混凝土等材料建成的封闭且不可移动、具备实物商品展示的经</w:t>
      </w:r>
      <w:r>
        <w:rPr>
          <w:rFonts w:hint="eastAsia" w:ascii="仿宋_GB2312" w:eastAsia="仿宋_GB2312"/>
          <w:color w:val="auto"/>
          <w:kern w:val="0"/>
          <w:sz w:val="32"/>
          <w:szCs w:val="32"/>
          <w:highlight w:val="none"/>
        </w:rPr>
        <w:t>营设施、条件的场所，不包含流动摊点（车、棚）、违章建筑、活动板房、临时建筑物、危房、市政规划已标示待拆迁建筑等。</w:t>
      </w:r>
    </w:p>
    <w:p w14:paraId="6495FB10">
      <w:pPr>
        <w:pStyle w:val="15"/>
        <w:shd w:val="clear" w:color="auto" w:fill="FFFFFF"/>
        <w:spacing w:before="0" w:beforeAutospacing="0" w:after="0" w:afterAutospacing="0" w:line="482" w:lineRule="atLeast"/>
        <w:ind w:firstLine="640" w:firstLineChars="200"/>
        <w:jc w:val="both"/>
        <w:rPr>
          <w:rFonts w:hint="eastAsia" w:eastAsia="仿宋_GB2312" w:cs="方正仿宋_GB2312"/>
          <w:color w:val="auto"/>
          <w:sz w:val="32"/>
          <w:szCs w:val="32"/>
          <w:highlight w:val="none"/>
        </w:rPr>
      </w:pPr>
      <w:r>
        <w:rPr>
          <w:rFonts w:hint="eastAsia" w:ascii="黑体" w:hAnsi="黑体" w:eastAsia="黑体" w:cs="方正仿宋_GB2312"/>
          <w:color w:val="auto"/>
          <w:sz w:val="32"/>
          <w:szCs w:val="32"/>
          <w:highlight w:val="none"/>
        </w:rPr>
        <w:t>第三十</w:t>
      </w:r>
      <w:r>
        <w:rPr>
          <w:rFonts w:hint="eastAsia" w:ascii="黑体" w:hAnsi="黑体" w:eastAsia="黑体" w:cs="方正仿宋_GB2312"/>
          <w:color w:val="auto"/>
          <w:sz w:val="32"/>
          <w:szCs w:val="32"/>
          <w:highlight w:val="none"/>
          <w:lang w:eastAsia="zh-CN"/>
        </w:rPr>
        <w:t>一</w:t>
      </w:r>
      <w:r>
        <w:rPr>
          <w:rFonts w:hint="eastAsia" w:ascii="黑体" w:hAnsi="黑体" w:eastAsia="黑体" w:cs="方正仿宋_GB2312"/>
          <w:color w:val="auto"/>
          <w:sz w:val="32"/>
          <w:szCs w:val="32"/>
          <w:highlight w:val="none"/>
        </w:rPr>
        <w:t>条</w:t>
      </w:r>
      <w:r>
        <w:rPr>
          <w:rFonts w:hint="eastAsia" w:eastAsia="仿宋_GB2312" w:cs="方正仿宋_GB2312"/>
          <w:color w:val="auto"/>
          <w:sz w:val="32"/>
          <w:szCs w:val="32"/>
          <w:highlight w:val="none"/>
        </w:rPr>
        <w:t xml:space="preserve">  本规划所称的“经营场所与住所不相独立”，</w:t>
      </w:r>
    </w:p>
    <w:p w14:paraId="6522B4CD">
      <w:pPr>
        <w:pStyle w:val="15"/>
        <w:shd w:val="clear" w:color="auto" w:fill="FFFFFF"/>
        <w:spacing w:before="0" w:beforeAutospacing="0" w:after="0" w:afterAutospacing="0" w:line="482" w:lineRule="atLeast"/>
        <w:jc w:val="both"/>
        <w:rPr>
          <w:rFonts w:hint="eastAsia" w:eastAsia="仿宋_GB2312" w:cs="方正仿宋_GB2312"/>
          <w:color w:val="auto"/>
          <w:sz w:val="32"/>
          <w:szCs w:val="32"/>
          <w:highlight w:val="none"/>
        </w:rPr>
      </w:pPr>
      <w:r>
        <w:rPr>
          <w:rFonts w:hint="eastAsia" w:eastAsia="仿宋_GB2312" w:cs="方正仿宋_GB2312"/>
          <w:color w:val="auto"/>
          <w:sz w:val="32"/>
          <w:szCs w:val="32"/>
          <w:highlight w:val="none"/>
        </w:rPr>
        <w:t>是指经营场所与生活住所区域应相</w:t>
      </w:r>
      <w:r>
        <w:rPr>
          <w:rFonts w:hint="eastAsia" w:eastAsia="仿宋_GB2312" w:cs="方正仿宋_GB2312"/>
          <w:color w:val="auto"/>
          <w:sz w:val="32"/>
          <w:szCs w:val="32"/>
          <w:highlight w:val="none"/>
          <w:lang w:eastAsia="zh-CN"/>
        </w:rPr>
        <w:t>对</w:t>
      </w:r>
      <w:r>
        <w:rPr>
          <w:rFonts w:hint="eastAsia" w:eastAsia="仿宋_GB2312" w:cs="方正仿宋_GB2312"/>
          <w:color w:val="auto"/>
          <w:sz w:val="32"/>
          <w:szCs w:val="32"/>
          <w:highlight w:val="none"/>
        </w:rPr>
        <w:t>独立，场所可对消费者完全开放，不包含住宅公寓（经依法审批改为经营用途的除外）、办公场所、仓库，住宅公寓、生活住所的车库、地下室、储藏室以及地面二层及以上未对消费者全开放的场所等。</w:t>
      </w:r>
    </w:p>
    <w:p w14:paraId="09ABD714">
      <w:pPr>
        <w:ind w:firstLine="640" w:firstLineChars="200"/>
        <w:rPr>
          <w:rFonts w:hint="eastAsia" w:eastAsia="仿宋_GB2312" w:cs="方正仿宋_GB2312"/>
          <w:color w:val="auto"/>
          <w:sz w:val="32"/>
          <w:szCs w:val="32"/>
          <w:highlight w:val="none"/>
        </w:rPr>
      </w:pPr>
      <w:r>
        <w:rPr>
          <w:rFonts w:hint="eastAsia" w:ascii="黑体" w:hAnsi="黑体" w:eastAsia="黑体"/>
          <w:bCs/>
          <w:color w:val="auto"/>
          <w:sz w:val="32"/>
          <w:szCs w:val="32"/>
          <w:highlight w:val="none"/>
        </w:rPr>
        <w:t>第三十</w:t>
      </w:r>
      <w:r>
        <w:rPr>
          <w:rFonts w:hint="eastAsia" w:ascii="黑体" w:hAnsi="黑体" w:eastAsia="黑体"/>
          <w:bCs/>
          <w:color w:val="auto"/>
          <w:sz w:val="32"/>
          <w:szCs w:val="32"/>
          <w:highlight w:val="none"/>
          <w:lang w:eastAsia="zh-CN"/>
        </w:rPr>
        <w:t>二</w:t>
      </w:r>
      <w:r>
        <w:rPr>
          <w:rFonts w:hint="eastAsia" w:ascii="黑体" w:hAnsi="黑体" w:eastAsia="黑体"/>
          <w:bCs/>
          <w:color w:val="auto"/>
          <w:sz w:val="32"/>
          <w:szCs w:val="32"/>
          <w:highlight w:val="none"/>
        </w:rPr>
        <w:t>条</w:t>
      </w:r>
      <w:r>
        <w:rPr>
          <w:rFonts w:hint="eastAsia" w:eastAsia="仿宋_GB2312" w:cs="方正仿宋_GB2312"/>
          <w:color w:val="auto"/>
          <w:sz w:val="32"/>
          <w:szCs w:val="32"/>
          <w:highlight w:val="none"/>
        </w:rPr>
        <w:t xml:space="preserve">  本规划所称的“经营场所基于安全因素不适宜经营卷烟”，是指包括但不限于生产、销售、存储的化工、油漆、装潢、炸药、鞭炮、散装白酒等危险品及有毒有害、易燃易爆物品的场所。具备安全保障措施的加油站便利店除外。</w:t>
      </w:r>
    </w:p>
    <w:p w14:paraId="291BFD52">
      <w:pPr>
        <w:ind w:firstLine="640" w:firstLineChars="200"/>
        <w:rPr>
          <w:rFonts w:hint="eastAsia" w:eastAsia="仿宋_GB2312" w:cs="方正仿宋_GB2312"/>
          <w:color w:val="auto"/>
          <w:sz w:val="32"/>
          <w:szCs w:val="32"/>
          <w:highlight w:val="none"/>
        </w:rPr>
      </w:pPr>
      <w:r>
        <w:rPr>
          <w:rFonts w:hint="eastAsia" w:ascii="黑体" w:hAnsi="黑体" w:eastAsia="黑体"/>
          <w:bCs/>
          <w:color w:val="auto"/>
          <w:sz w:val="32"/>
          <w:szCs w:val="32"/>
          <w:highlight w:val="none"/>
        </w:rPr>
        <w:t>第三十</w:t>
      </w:r>
      <w:r>
        <w:rPr>
          <w:rFonts w:hint="eastAsia" w:ascii="黑体" w:hAnsi="黑体" w:eastAsia="黑体"/>
          <w:bCs/>
          <w:color w:val="auto"/>
          <w:sz w:val="32"/>
          <w:szCs w:val="32"/>
          <w:highlight w:val="none"/>
          <w:lang w:val="en-US" w:eastAsia="zh-CN"/>
        </w:rPr>
        <w:t>三</w:t>
      </w:r>
      <w:r>
        <w:rPr>
          <w:rFonts w:hint="eastAsia" w:ascii="黑体" w:hAnsi="黑体" w:eastAsia="黑体"/>
          <w:bCs/>
          <w:color w:val="auto"/>
          <w:sz w:val="32"/>
          <w:szCs w:val="32"/>
          <w:highlight w:val="none"/>
        </w:rPr>
        <w:t>条</w:t>
      </w:r>
      <w:r>
        <w:rPr>
          <w:rFonts w:hint="eastAsia" w:eastAsia="仿宋_GB2312" w:cs="方正仿宋_GB2312"/>
          <w:color w:val="auto"/>
          <w:sz w:val="32"/>
          <w:szCs w:val="32"/>
          <w:highlight w:val="none"/>
        </w:rPr>
        <w:t xml:space="preserve">  本规划所称的“信息网络渠道”，是指媒体网站、社交媒体平台、搜索引擎、新闻网站、自媒体平台等。</w:t>
      </w:r>
    </w:p>
    <w:p w14:paraId="16C6945B">
      <w:pPr>
        <w:ind w:firstLine="640" w:firstLineChars="200"/>
        <w:rPr>
          <w:rFonts w:hint="eastAsia" w:eastAsia="仿宋_GB2312" w:cs="方正仿宋_GB2312"/>
          <w:color w:val="auto"/>
          <w:sz w:val="32"/>
          <w:szCs w:val="32"/>
          <w:highlight w:val="none"/>
        </w:rPr>
      </w:pPr>
      <w:r>
        <w:rPr>
          <w:rFonts w:hint="eastAsia" w:ascii="黑体" w:hAnsi="黑体" w:eastAsia="黑体"/>
          <w:bCs/>
          <w:color w:val="auto"/>
          <w:sz w:val="32"/>
          <w:szCs w:val="32"/>
          <w:highlight w:val="none"/>
        </w:rPr>
        <w:t>第</w:t>
      </w:r>
      <w:r>
        <w:rPr>
          <w:rFonts w:hint="eastAsia" w:ascii="黑体" w:hAnsi="黑体" w:eastAsia="黑体"/>
          <w:bCs/>
          <w:color w:val="auto"/>
          <w:sz w:val="32"/>
          <w:szCs w:val="32"/>
          <w:highlight w:val="none"/>
          <w:lang w:eastAsia="zh-CN"/>
        </w:rPr>
        <w:t>三十</w:t>
      </w:r>
      <w:r>
        <w:rPr>
          <w:rFonts w:hint="eastAsia" w:ascii="黑体" w:hAnsi="黑体" w:eastAsia="黑体"/>
          <w:bCs/>
          <w:color w:val="auto"/>
          <w:sz w:val="32"/>
          <w:szCs w:val="32"/>
          <w:highlight w:val="none"/>
          <w:lang w:val="en-US" w:eastAsia="zh-CN"/>
        </w:rPr>
        <w:t>四</w:t>
      </w:r>
      <w:r>
        <w:rPr>
          <w:rFonts w:hint="eastAsia" w:ascii="黑体" w:hAnsi="黑体" w:eastAsia="黑体"/>
          <w:bCs/>
          <w:color w:val="auto"/>
          <w:sz w:val="32"/>
          <w:szCs w:val="32"/>
          <w:highlight w:val="none"/>
        </w:rPr>
        <w:t>条</w:t>
      </w:r>
      <w:r>
        <w:rPr>
          <w:rFonts w:hint="eastAsia" w:eastAsia="仿宋_GB2312" w:cs="方正仿宋_GB2312"/>
          <w:color w:val="auto"/>
          <w:sz w:val="32"/>
          <w:szCs w:val="32"/>
          <w:highlight w:val="none"/>
        </w:rPr>
        <w:t xml:space="preserve">  本规划所称的“中小学校、幼儿园”，中</w:t>
      </w:r>
      <w:r>
        <w:rPr>
          <w:rFonts w:hint="eastAsia" w:eastAsia="仿宋_GB2312" w:cs="方正仿宋_GB2312"/>
          <w:color w:val="auto"/>
          <w:sz w:val="32"/>
          <w:szCs w:val="32"/>
          <w:highlight w:val="none"/>
          <w:lang w:eastAsia="zh-CN"/>
        </w:rPr>
        <w:t>小</w:t>
      </w:r>
      <w:r>
        <w:rPr>
          <w:rFonts w:hint="eastAsia" w:eastAsia="仿宋_GB2312" w:cs="方正仿宋_GB2312"/>
          <w:color w:val="auto"/>
          <w:sz w:val="32"/>
          <w:szCs w:val="32"/>
          <w:highlight w:val="none"/>
        </w:rPr>
        <w:t>学校是指以未成年人为教育对象的普通中小学、特殊教育学校、中等职业学校、专门学校；幼儿园是指经教育部门批准获得许可证依法设立的学前教育学校，不包括幼儿看护点、早教机构、学前托管等场所。</w:t>
      </w:r>
    </w:p>
    <w:p w14:paraId="220D75C1">
      <w:pPr>
        <w:spacing w:before="156" w:beforeLines="50" w:line="360" w:lineRule="auto"/>
        <w:ind w:firstLine="640" w:firstLineChars="200"/>
        <w:rPr>
          <w:rFonts w:hint="eastAsia" w:ascii="仿宋_GB2312" w:eastAsia="仿宋_GB2312"/>
          <w:color w:val="auto"/>
          <w:sz w:val="32"/>
          <w:szCs w:val="32"/>
          <w:highlight w:val="none"/>
        </w:rPr>
      </w:pPr>
      <w:r>
        <w:rPr>
          <w:rFonts w:hint="eastAsia" w:ascii="黑体" w:hAnsi="黑体" w:eastAsia="黑体"/>
          <w:bCs/>
          <w:color w:val="auto"/>
          <w:sz w:val="32"/>
          <w:szCs w:val="32"/>
          <w:highlight w:val="none"/>
        </w:rPr>
        <w:t>第</w:t>
      </w:r>
      <w:r>
        <w:rPr>
          <w:rFonts w:hint="eastAsia" w:ascii="黑体" w:hAnsi="黑体" w:eastAsia="黑体"/>
          <w:bCs/>
          <w:color w:val="auto"/>
          <w:sz w:val="32"/>
          <w:szCs w:val="32"/>
          <w:highlight w:val="none"/>
          <w:lang w:eastAsia="zh-CN"/>
        </w:rPr>
        <w:t>三十五</w:t>
      </w:r>
      <w:r>
        <w:rPr>
          <w:rFonts w:hint="eastAsia" w:ascii="黑体" w:hAnsi="黑体" w:eastAsia="黑体"/>
          <w:bCs/>
          <w:color w:val="auto"/>
          <w:sz w:val="32"/>
          <w:szCs w:val="32"/>
          <w:highlight w:val="none"/>
        </w:rPr>
        <w:t xml:space="preserve">条  </w:t>
      </w:r>
      <w:r>
        <w:rPr>
          <w:rFonts w:hint="eastAsia" w:ascii="仿宋_GB2312" w:eastAsia="仿宋_GB2312"/>
          <w:color w:val="auto"/>
          <w:sz w:val="32"/>
          <w:szCs w:val="32"/>
          <w:highlight w:val="none"/>
        </w:rPr>
        <w:t>本规划中的“不低于、不超过、不少于、以上、以内”均包含本数。</w:t>
      </w:r>
    </w:p>
    <w:p w14:paraId="40D909B8">
      <w:pPr>
        <w:spacing w:before="156" w:beforeLines="50" w:line="360" w:lineRule="auto"/>
        <w:ind w:firstLine="640" w:firstLineChars="200"/>
        <w:rPr>
          <w:rFonts w:hint="eastAsia" w:ascii="仿宋_GB2312" w:eastAsia="仿宋_GB2312"/>
          <w:color w:val="auto"/>
          <w:sz w:val="32"/>
          <w:szCs w:val="32"/>
          <w:highlight w:val="none"/>
        </w:rPr>
      </w:pPr>
      <w:r>
        <w:rPr>
          <w:rFonts w:hint="eastAsia" w:ascii="黑体" w:hAnsi="黑体" w:eastAsia="黑体"/>
          <w:bCs/>
          <w:color w:val="auto"/>
          <w:sz w:val="32"/>
          <w:szCs w:val="32"/>
          <w:highlight w:val="none"/>
        </w:rPr>
        <w:t>第</w:t>
      </w:r>
      <w:r>
        <w:rPr>
          <w:rFonts w:hint="eastAsia" w:ascii="黑体" w:hAnsi="黑体" w:eastAsia="黑体"/>
          <w:bCs/>
          <w:color w:val="auto"/>
          <w:sz w:val="32"/>
          <w:szCs w:val="32"/>
          <w:highlight w:val="none"/>
          <w:lang w:eastAsia="zh-CN"/>
        </w:rPr>
        <w:t>三十六</w:t>
      </w:r>
      <w:r>
        <w:rPr>
          <w:rFonts w:hint="eastAsia" w:ascii="黑体" w:hAnsi="黑体" w:eastAsia="黑体"/>
          <w:bCs/>
          <w:color w:val="auto"/>
          <w:sz w:val="32"/>
          <w:szCs w:val="32"/>
          <w:highlight w:val="none"/>
        </w:rPr>
        <w:t xml:space="preserve">条  </w:t>
      </w:r>
      <w:r>
        <w:rPr>
          <w:rFonts w:hint="eastAsia" w:ascii="仿宋_GB2312" w:eastAsia="仿宋_GB2312"/>
          <w:color w:val="auto"/>
          <w:sz w:val="32"/>
          <w:szCs w:val="32"/>
          <w:highlight w:val="none"/>
        </w:rPr>
        <w:t>本规划由</w:t>
      </w:r>
      <w:r>
        <w:rPr>
          <w:rFonts w:hint="eastAsia" w:ascii="仿宋_GB2312" w:eastAsia="仿宋_GB2312"/>
          <w:color w:val="auto"/>
          <w:sz w:val="32"/>
          <w:szCs w:val="32"/>
          <w:highlight w:val="none"/>
          <w:lang w:eastAsia="zh-CN"/>
        </w:rPr>
        <w:t>集贤县</w:t>
      </w:r>
      <w:r>
        <w:rPr>
          <w:rFonts w:hint="eastAsia" w:ascii="仿宋_GB2312" w:eastAsia="仿宋_GB2312"/>
          <w:color w:val="auto"/>
          <w:sz w:val="32"/>
          <w:szCs w:val="32"/>
          <w:highlight w:val="none"/>
        </w:rPr>
        <w:t>烟草专卖局负责解释。</w:t>
      </w:r>
    </w:p>
    <w:p w14:paraId="703137A6">
      <w:pPr>
        <w:spacing w:before="156" w:beforeLines="50" w:line="360" w:lineRule="auto"/>
        <w:ind w:firstLine="640" w:firstLineChars="200"/>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eastAsia="zh-CN"/>
        </w:rPr>
        <w:t>三十七</w:t>
      </w:r>
      <w:r>
        <w:rPr>
          <w:rFonts w:hint="eastAsia" w:ascii="黑体" w:hAnsi="黑体" w:eastAsia="黑体"/>
          <w:color w:val="auto"/>
          <w:sz w:val="32"/>
          <w:szCs w:val="32"/>
          <w:highlight w:val="none"/>
        </w:rPr>
        <w:t xml:space="preserve">条  </w:t>
      </w:r>
      <w:r>
        <w:rPr>
          <w:rFonts w:hint="eastAsia" w:ascii="仿宋_GB2312" w:eastAsia="仿宋_GB2312"/>
          <w:color w:val="auto"/>
          <w:sz w:val="32"/>
          <w:szCs w:val="32"/>
          <w:highlight w:val="none"/>
        </w:rPr>
        <w:t>本规划实施过程中法律法规和政策另有规定的，从其规定。因政策调整发生变化，需要对本规划重新修订的，将按相关法律、法规、规章进行修订。</w:t>
      </w:r>
    </w:p>
    <w:p w14:paraId="54CA5942">
      <w:pPr>
        <w:spacing w:before="156" w:beforeLines="50" w:line="360" w:lineRule="auto"/>
        <w:ind w:firstLine="640" w:firstLineChars="200"/>
        <w:rPr>
          <w:rFonts w:hint="eastAsia" w:ascii="仿宋_GB2312" w:eastAsia="仿宋_GB2312"/>
          <w:color w:val="auto"/>
          <w:sz w:val="32"/>
          <w:szCs w:val="32"/>
          <w:highlight w:val="none"/>
        </w:rPr>
      </w:pPr>
      <w:r>
        <w:rPr>
          <w:rFonts w:hint="eastAsia" w:ascii="黑体" w:hAnsi="黑体" w:eastAsia="黑体"/>
          <w:bCs/>
          <w:color w:val="auto"/>
          <w:sz w:val="32"/>
          <w:szCs w:val="32"/>
          <w:highlight w:val="none"/>
        </w:rPr>
        <w:t>第</w:t>
      </w:r>
      <w:r>
        <w:rPr>
          <w:rFonts w:hint="eastAsia" w:ascii="黑体" w:hAnsi="黑体" w:eastAsia="黑体"/>
          <w:bCs/>
          <w:color w:val="auto"/>
          <w:sz w:val="32"/>
          <w:szCs w:val="32"/>
          <w:highlight w:val="none"/>
          <w:lang w:eastAsia="zh-CN"/>
        </w:rPr>
        <w:t>三十八</w:t>
      </w:r>
      <w:r>
        <w:rPr>
          <w:rFonts w:hint="eastAsia" w:ascii="黑体" w:hAnsi="黑体" w:eastAsia="黑体"/>
          <w:bCs/>
          <w:color w:val="auto"/>
          <w:sz w:val="32"/>
          <w:szCs w:val="32"/>
          <w:highlight w:val="none"/>
        </w:rPr>
        <w:t xml:space="preserve">条  </w:t>
      </w:r>
      <w:r>
        <w:rPr>
          <w:rFonts w:hint="eastAsia" w:ascii="仿宋_GB2312" w:eastAsia="仿宋_GB2312"/>
          <w:color w:val="auto"/>
          <w:sz w:val="32"/>
          <w:szCs w:val="32"/>
          <w:highlight w:val="none"/>
        </w:rPr>
        <w:t>本规划自公布之日起施行，《双鸭山市烟草制品零售点合理布局规定》(双烟办〔2021〕122号)同时废止。</w:t>
      </w:r>
    </w:p>
    <w:p w14:paraId="3B1FC35A">
      <w:pPr>
        <w:ind w:firstLine="640" w:firstLineChars="200"/>
        <w:jc w:val="both"/>
        <w:rPr>
          <w:rFonts w:eastAsia="仿宋_GB2312" w:cs="方正仿宋_GB2312"/>
          <w:color w:val="auto"/>
          <w:sz w:val="32"/>
          <w:szCs w:val="32"/>
          <w:highlight w:val="none"/>
        </w:rPr>
      </w:pPr>
      <w:r>
        <w:rPr>
          <w:rFonts w:hint="eastAsia" w:eastAsia="仿宋_GB2312" w:cs="方正仿宋_GB2312"/>
          <w:color w:val="auto"/>
          <w:sz w:val="32"/>
          <w:szCs w:val="32"/>
          <w:highlight w:val="none"/>
        </w:rPr>
        <w:t>附件：</w:t>
      </w:r>
      <w:r>
        <w:rPr>
          <w:rFonts w:hint="eastAsia" w:eastAsia="仿宋_GB2312" w:cs="方正仿宋_GB2312"/>
          <w:color w:val="auto"/>
          <w:sz w:val="32"/>
          <w:szCs w:val="32"/>
          <w:highlight w:val="none"/>
          <w:lang w:eastAsia="zh-CN"/>
        </w:rPr>
        <w:t>集贤县</w:t>
      </w:r>
      <w:r>
        <w:rPr>
          <w:rFonts w:hint="eastAsia" w:eastAsia="仿宋_GB2312" w:cs="方正仿宋_GB2312"/>
          <w:color w:val="auto"/>
          <w:sz w:val="32"/>
          <w:szCs w:val="32"/>
          <w:highlight w:val="none"/>
        </w:rPr>
        <w:t>烟草制品零售点现场测量标准</w:t>
      </w:r>
    </w:p>
    <w:p w14:paraId="2822A6A1">
      <w:pPr>
        <w:jc w:val="both"/>
        <w:rPr>
          <w:rFonts w:hint="eastAsia" w:ascii="国标黑体" w:hAnsi="国标黑体" w:eastAsia="国标黑体" w:cs="国标黑体"/>
          <w:color w:val="auto"/>
          <w:sz w:val="32"/>
          <w:szCs w:val="24"/>
          <w:highlight w:val="none"/>
          <w:lang w:eastAsia="zh-CN"/>
        </w:rPr>
      </w:pPr>
    </w:p>
    <w:p w14:paraId="3CE63E13">
      <w:pPr>
        <w:jc w:val="both"/>
        <w:rPr>
          <w:rFonts w:hint="eastAsia" w:ascii="国标黑体" w:hAnsi="国标黑体" w:eastAsia="国标黑体" w:cs="国标黑体"/>
          <w:color w:val="auto"/>
          <w:sz w:val="32"/>
          <w:szCs w:val="24"/>
          <w:highlight w:val="none"/>
          <w:lang w:eastAsia="zh-CN"/>
        </w:rPr>
      </w:pPr>
    </w:p>
    <w:p w14:paraId="04BCC1E6">
      <w:pPr>
        <w:jc w:val="both"/>
        <w:rPr>
          <w:rFonts w:hint="eastAsia" w:ascii="国标黑体" w:hAnsi="国标黑体" w:eastAsia="国标黑体" w:cs="国标黑体"/>
          <w:color w:val="auto"/>
          <w:sz w:val="32"/>
          <w:szCs w:val="24"/>
          <w:highlight w:val="none"/>
          <w:lang w:eastAsia="zh-CN"/>
        </w:rPr>
      </w:pPr>
    </w:p>
    <w:p w14:paraId="11E9B5DE">
      <w:pPr>
        <w:jc w:val="both"/>
        <w:rPr>
          <w:rFonts w:hint="eastAsia" w:ascii="国标黑体" w:hAnsi="国标黑体" w:eastAsia="国标黑体" w:cs="国标黑体"/>
          <w:color w:val="auto"/>
          <w:sz w:val="32"/>
          <w:szCs w:val="24"/>
          <w:highlight w:val="none"/>
          <w:lang w:eastAsia="zh-CN"/>
        </w:rPr>
      </w:pPr>
    </w:p>
    <w:p w14:paraId="3AED908A">
      <w:pPr>
        <w:jc w:val="both"/>
        <w:rPr>
          <w:rFonts w:hint="eastAsia" w:ascii="国标黑体" w:hAnsi="国标黑体" w:eastAsia="国标黑体" w:cs="国标黑体"/>
          <w:color w:val="auto"/>
          <w:sz w:val="32"/>
          <w:szCs w:val="24"/>
          <w:highlight w:val="none"/>
          <w:lang w:eastAsia="zh-CN"/>
        </w:rPr>
      </w:pPr>
    </w:p>
    <w:p w14:paraId="46ABB324">
      <w:pPr>
        <w:jc w:val="both"/>
        <w:rPr>
          <w:rFonts w:hint="eastAsia" w:ascii="国标黑体" w:hAnsi="国标黑体" w:eastAsia="国标黑体" w:cs="国标黑体"/>
          <w:color w:val="auto"/>
          <w:sz w:val="32"/>
          <w:szCs w:val="24"/>
          <w:highlight w:val="none"/>
          <w:lang w:eastAsia="zh-CN"/>
        </w:rPr>
      </w:pPr>
    </w:p>
    <w:p w14:paraId="40310E8D">
      <w:pPr>
        <w:jc w:val="both"/>
        <w:rPr>
          <w:rFonts w:hint="eastAsia" w:ascii="国标黑体" w:hAnsi="国标黑体" w:eastAsia="国标黑体" w:cs="国标黑体"/>
          <w:color w:val="auto"/>
          <w:sz w:val="32"/>
          <w:szCs w:val="24"/>
          <w:highlight w:val="none"/>
          <w:lang w:eastAsia="zh-CN"/>
        </w:rPr>
      </w:pPr>
    </w:p>
    <w:p w14:paraId="2B89D75E">
      <w:pPr>
        <w:jc w:val="both"/>
        <w:rPr>
          <w:rFonts w:hint="eastAsia" w:ascii="国标黑体" w:hAnsi="国标黑体" w:eastAsia="国标黑体" w:cs="国标黑体"/>
          <w:color w:val="auto"/>
          <w:sz w:val="32"/>
          <w:szCs w:val="24"/>
          <w:highlight w:val="none"/>
          <w:lang w:eastAsia="zh-CN"/>
        </w:rPr>
      </w:pPr>
    </w:p>
    <w:p w14:paraId="40A17DBC">
      <w:pPr>
        <w:jc w:val="both"/>
        <w:rPr>
          <w:rFonts w:hint="eastAsia" w:ascii="国标黑体" w:hAnsi="国标黑体" w:eastAsia="国标黑体" w:cs="国标黑体"/>
          <w:color w:val="auto"/>
          <w:sz w:val="32"/>
          <w:szCs w:val="24"/>
          <w:highlight w:val="none"/>
          <w:lang w:eastAsia="zh-CN"/>
        </w:rPr>
      </w:pPr>
    </w:p>
    <w:p w14:paraId="014F4C5F">
      <w:pPr>
        <w:jc w:val="both"/>
        <w:rPr>
          <w:rFonts w:hint="eastAsia" w:ascii="国标黑体" w:hAnsi="国标黑体" w:eastAsia="国标黑体" w:cs="国标黑体"/>
          <w:color w:val="auto"/>
          <w:sz w:val="32"/>
          <w:szCs w:val="24"/>
          <w:highlight w:val="none"/>
          <w:lang w:eastAsia="zh-CN"/>
        </w:rPr>
      </w:pPr>
      <w:r>
        <w:rPr>
          <w:rFonts w:hint="eastAsia" w:ascii="国标黑体" w:hAnsi="国标黑体" w:eastAsia="国标黑体" w:cs="国标黑体"/>
          <w:color w:val="auto"/>
          <w:sz w:val="32"/>
          <w:szCs w:val="24"/>
          <w:highlight w:val="none"/>
          <w:lang w:eastAsia="zh-CN"/>
        </w:rPr>
        <w:t>附件</w:t>
      </w:r>
    </w:p>
    <w:p w14:paraId="48FC824B">
      <w:pPr>
        <w:jc w:val="center"/>
        <w:rPr>
          <w:rFonts w:eastAsia="方正小标宋简体" w:cs="方正小标宋简体"/>
          <w:color w:val="auto"/>
          <w:sz w:val="40"/>
          <w:szCs w:val="32"/>
          <w:highlight w:val="none"/>
        </w:rPr>
      </w:pPr>
      <w:r>
        <w:rPr>
          <w:rFonts w:hint="eastAsia" w:eastAsia="方正小标宋简体" w:cs="方正小标宋简体"/>
          <w:color w:val="auto"/>
          <w:sz w:val="40"/>
          <w:szCs w:val="32"/>
          <w:highlight w:val="none"/>
          <w:lang w:eastAsia="zh-CN"/>
        </w:rPr>
        <w:t>集贤县</w:t>
      </w:r>
      <w:r>
        <w:rPr>
          <w:rFonts w:hint="eastAsia" w:eastAsia="方正小标宋简体" w:cs="方正小标宋简体"/>
          <w:color w:val="auto"/>
          <w:sz w:val="40"/>
          <w:szCs w:val="32"/>
          <w:highlight w:val="none"/>
        </w:rPr>
        <w:t>烟草制品零售点现场测量标准</w:t>
      </w:r>
    </w:p>
    <w:p w14:paraId="6C1E3B45">
      <w:pPr>
        <w:ind w:firstLine="640" w:firstLineChars="200"/>
        <w:jc w:val="left"/>
        <w:rPr>
          <w:rFonts w:eastAsia="仿宋_GB2312" w:cs="方正仿宋_GB2312"/>
          <w:color w:val="auto"/>
          <w:sz w:val="32"/>
          <w:szCs w:val="32"/>
          <w:highlight w:val="none"/>
        </w:rPr>
      </w:pPr>
      <w:r>
        <w:rPr>
          <w:rFonts w:hint="eastAsia" w:ascii="仿宋_GB2312" w:hAnsi="微软雅黑" w:eastAsia="仿宋_GB2312" w:cs="宋体"/>
          <w:color w:val="auto"/>
          <w:sz w:val="32"/>
          <w:szCs w:val="32"/>
          <w:highlight w:val="none"/>
          <w:lang w:bidi="ug-CN"/>
        </w:rPr>
        <w:t>依据《</w:t>
      </w:r>
      <w:r>
        <w:rPr>
          <w:rFonts w:hint="eastAsia" w:ascii="仿宋_GB2312" w:hAnsi="微软雅黑" w:eastAsia="仿宋_GB2312" w:cs="宋体"/>
          <w:color w:val="auto"/>
          <w:sz w:val="32"/>
          <w:szCs w:val="32"/>
          <w:highlight w:val="none"/>
          <w:lang w:eastAsia="zh-CN" w:bidi="ug-CN"/>
        </w:rPr>
        <w:t>集贤县</w:t>
      </w:r>
      <w:r>
        <w:rPr>
          <w:rFonts w:hint="eastAsia" w:ascii="仿宋_GB2312" w:hAnsi="黑体" w:eastAsia="仿宋_GB2312" w:cs="宋体"/>
          <w:color w:val="auto"/>
          <w:sz w:val="32"/>
          <w:szCs w:val="32"/>
          <w:highlight w:val="none"/>
          <w:lang w:bidi="ug-CN"/>
        </w:rPr>
        <w:t>烟草制品零售点合理布局规划》规定，</w:t>
      </w:r>
      <w:r>
        <w:rPr>
          <w:rFonts w:hint="eastAsia" w:eastAsia="仿宋_GB2312" w:cs="方正仿宋_GB2312"/>
          <w:color w:val="auto"/>
          <w:sz w:val="32"/>
          <w:szCs w:val="32"/>
          <w:highlight w:val="none"/>
        </w:rPr>
        <w:t>为统一、规范</w:t>
      </w:r>
      <w:r>
        <w:rPr>
          <w:rFonts w:hint="eastAsia" w:eastAsia="仿宋_GB2312" w:cs="方正仿宋_GB2312"/>
          <w:color w:val="auto"/>
          <w:sz w:val="32"/>
          <w:szCs w:val="32"/>
          <w:highlight w:val="none"/>
          <w:lang w:eastAsia="zh-CN"/>
        </w:rPr>
        <w:t>间隔距离</w:t>
      </w:r>
      <w:r>
        <w:rPr>
          <w:rFonts w:hint="eastAsia" w:eastAsia="仿宋_GB2312" w:cs="方正仿宋_GB2312"/>
          <w:color w:val="auto"/>
          <w:sz w:val="32"/>
          <w:szCs w:val="32"/>
          <w:highlight w:val="none"/>
        </w:rPr>
        <w:t>测量标准，确保烟草制品零售点现场实地勘验公开、公平、公正，制定本标准。</w:t>
      </w:r>
    </w:p>
    <w:p w14:paraId="17EE6016">
      <w:pPr>
        <w:ind w:firstLine="640" w:firstLineChars="200"/>
        <w:jc w:val="left"/>
        <w:rPr>
          <w:rFonts w:eastAsia="仿宋_GB2312" w:cs="方正仿宋_GB2312"/>
          <w:color w:val="auto"/>
          <w:sz w:val="32"/>
          <w:szCs w:val="32"/>
          <w:highlight w:val="none"/>
        </w:rPr>
      </w:pPr>
      <w:r>
        <w:rPr>
          <w:rFonts w:hint="eastAsia" w:ascii="黑体" w:hAnsi="黑体" w:eastAsia="黑体" w:cs="方正仿宋_GB2312"/>
          <w:bCs/>
          <w:color w:val="auto"/>
          <w:sz w:val="32"/>
          <w:szCs w:val="32"/>
          <w:highlight w:val="none"/>
        </w:rPr>
        <w:t>第一条</w:t>
      </w:r>
      <w:r>
        <w:rPr>
          <w:rFonts w:hint="eastAsia" w:eastAsia="方正仿宋_GB2312" w:cs="方正仿宋_GB2312"/>
          <w:color w:val="auto"/>
          <w:sz w:val="32"/>
          <w:szCs w:val="32"/>
          <w:highlight w:val="none"/>
        </w:rPr>
        <w:t xml:space="preserve">  </w:t>
      </w:r>
      <w:r>
        <w:rPr>
          <w:rFonts w:eastAsia="仿宋_GB2312" w:cs="方正仿宋_GB2312"/>
          <w:color w:val="auto"/>
          <w:sz w:val="32"/>
          <w:szCs w:val="32"/>
          <w:highlight w:val="none"/>
        </w:rPr>
        <w:t>本标准适用于</w:t>
      </w:r>
      <w:r>
        <w:rPr>
          <w:rFonts w:hint="eastAsia" w:eastAsia="仿宋_GB2312" w:cs="方正仿宋_GB2312"/>
          <w:color w:val="auto"/>
          <w:sz w:val="32"/>
          <w:szCs w:val="32"/>
          <w:highlight w:val="none"/>
          <w:lang w:eastAsia="zh-CN"/>
        </w:rPr>
        <w:t>集贤县</w:t>
      </w:r>
      <w:r>
        <w:rPr>
          <w:rFonts w:eastAsia="仿宋_GB2312" w:cs="方正仿宋_GB2312"/>
          <w:color w:val="auto"/>
          <w:sz w:val="32"/>
          <w:szCs w:val="32"/>
          <w:highlight w:val="none"/>
        </w:rPr>
        <w:t>烟草专卖局对烟草制品零售点现场实地勘验测量</w:t>
      </w:r>
      <w:r>
        <w:rPr>
          <w:rFonts w:hint="eastAsia" w:eastAsia="仿宋_GB2312" w:cs="方正仿宋_GB2312"/>
          <w:color w:val="auto"/>
          <w:sz w:val="32"/>
          <w:szCs w:val="32"/>
          <w:highlight w:val="none"/>
        </w:rPr>
        <w:t>工作。</w:t>
      </w:r>
    </w:p>
    <w:p w14:paraId="5E641439">
      <w:pPr>
        <w:ind w:firstLine="640" w:firstLineChars="200"/>
        <w:jc w:val="left"/>
        <w:rPr>
          <w:rFonts w:eastAsia="方正仿宋_GB2312" w:cs="方正仿宋_GB2312"/>
          <w:color w:val="auto"/>
          <w:sz w:val="32"/>
          <w:szCs w:val="32"/>
          <w:highlight w:val="none"/>
        </w:rPr>
      </w:pPr>
      <w:r>
        <w:rPr>
          <w:rFonts w:hint="eastAsia" w:ascii="黑体" w:hAnsi="黑体" w:eastAsia="黑体" w:cs="方正仿宋_GB2312"/>
          <w:bCs/>
          <w:color w:val="auto"/>
          <w:sz w:val="32"/>
          <w:szCs w:val="32"/>
          <w:highlight w:val="none"/>
        </w:rPr>
        <w:t>第二条</w:t>
      </w:r>
      <w:r>
        <w:rPr>
          <w:rFonts w:hint="eastAsia" w:eastAsia="仿宋_GB2312" w:cs="方正仿宋_GB2312"/>
          <w:b/>
          <w:bCs/>
          <w:color w:val="auto"/>
          <w:sz w:val="32"/>
          <w:szCs w:val="32"/>
          <w:highlight w:val="none"/>
        </w:rPr>
        <w:t xml:space="preserve"> </w:t>
      </w:r>
      <w:r>
        <w:rPr>
          <w:rFonts w:hint="eastAsia" w:eastAsia="方正仿宋_GB2312" w:cs="方正仿宋_GB2312"/>
          <w:color w:val="auto"/>
          <w:sz w:val="32"/>
          <w:szCs w:val="32"/>
          <w:highlight w:val="none"/>
        </w:rPr>
        <w:t xml:space="preserve"> </w:t>
      </w:r>
      <w:r>
        <w:rPr>
          <w:rFonts w:eastAsia="仿宋_GB2312" w:cs="方正仿宋_GB2312"/>
          <w:color w:val="auto"/>
          <w:sz w:val="32"/>
          <w:szCs w:val="32"/>
          <w:highlight w:val="none"/>
        </w:rPr>
        <w:t>烟草制品零售点现场测量主要是指</w:t>
      </w:r>
      <w:r>
        <w:rPr>
          <w:rFonts w:hint="eastAsia" w:eastAsia="仿宋_GB2312" w:cs="方正仿宋_GB2312"/>
          <w:color w:val="auto"/>
          <w:sz w:val="32"/>
          <w:szCs w:val="32"/>
          <w:highlight w:val="none"/>
          <w:lang w:eastAsia="zh-CN"/>
        </w:rPr>
        <w:t>间隔距离</w:t>
      </w:r>
      <w:r>
        <w:rPr>
          <w:rFonts w:eastAsia="仿宋_GB2312" w:cs="方正仿宋_GB2312"/>
          <w:color w:val="auto"/>
          <w:sz w:val="32"/>
          <w:szCs w:val="32"/>
          <w:highlight w:val="none"/>
        </w:rPr>
        <w:t>的测量认定</w:t>
      </w:r>
      <w:r>
        <w:rPr>
          <w:rFonts w:hint="eastAsia" w:eastAsia="仿宋_GB2312" w:cs="方正仿宋_GB2312"/>
          <w:color w:val="auto"/>
          <w:sz w:val="32"/>
          <w:szCs w:val="32"/>
          <w:highlight w:val="none"/>
        </w:rPr>
        <w:t>。</w:t>
      </w:r>
    </w:p>
    <w:p w14:paraId="74DB94EC">
      <w:pPr>
        <w:ind w:firstLine="640" w:firstLineChars="200"/>
        <w:jc w:val="left"/>
        <w:rPr>
          <w:rFonts w:eastAsia="仿宋_GB2312" w:cs="方正仿宋_GB2312"/>
          <w:color w:val="auto"/>
          <w:sz w:val="32"/>
          <w:szCs w:val="32"/>
          <w:highlight w:val="none"/>
        </w:rPr>
      </w:pPr>
      <w:r>
        <w:rPr>
          <w:rFonts w:hint="eastAsia" w:ascii="黑体" w:hAnsi="黑体" w:eastAsia="黑体" w:cs="方正仿宋_GB2312"/>
          <w:bCs/>
          <w:color w:val="auto"/>
          <w:sz w:val="32"/>
          <w:szCs w:val="32"/>
          <w:highlight w:val="none"/>
        </w:rPr>
        <w:t>第三条</w:t>
      </w:r>
      <w:r>
        <w:rPr>
          <w:rFonts w:hint="eastAsia" w:eastAsia="仿宋_GB2312" w:cs="方正仿宋_GB2312"/>
          <w:b/>
          <w:bCs/>
          <w:color w:val="auto"/>
          <w:sz w:val="32"/>
          <w:szCs w:val="32"/>
          <w:highlight w:val="none"/>
        </w:rPr>
        <w:t xml:space="preserve"> </w:t>
      </w:r>
      <w:r>
        <w:rPr>
          <w:rFonts w:hint="eastAsia" w:eastAsia="方正仿宋_GB2312" w:cs="方正仿宋_GB2312"/>
          <w:color w:val="auto"/>
          <w:sz w:val="32"/>
          <w:szCs w:val="32"/>
          <w:highlight w:val="none"/>
        </w:rPr>
        <w:t xml:space="preserve"> </w:t>
      </w:r>
      <w:r>
        <w:rPr>
          <w:rFonts w:hint="eastAsia" w:eastAsia="仿宋_GB2312" w:cs="方正仿宋_GB2312"/>
          <w:color w:val="auto"/>
          <w:sz w:val="32"/>
          <w:szCs w:val="32"/>
          <w:highlight w:val="none"/>
          <w:lang w:eastAsia="zh-CN"/>
        </w:rPr>
        <w:t>间隔距离</w:t>
      </w:r>
      <w:r>
        <w:rPr>
          <w:rFonts w:eastAsia="仿宋_GB2312" w:cs="方正仿宋_GB2312"/>
          <w:color w:val="auto"/>
          <w:sz w:val="32"/>
          <w:szCs w:val="32"/>
          <w:highlight w:val="none"/>
        </w:rPr>
        <w:t>测量方式</w:t>
      </w:r>
      <w:r>
        <w:rPr>
          <w:rFonts w:hint="eastAsia" w:eastAsia="仿宋_GB2312" w:cs="方正仿宋_GB2312"/>
          <w:color w:val="auto"/>
          <w:sz w:val="32"/>
          <w:szCs w:val="32"/>
          <w:highlight w:val="none"/>
        </w:rPr>
        <w:t>：</w:t>
      </w:r>
    </w:p>
    <w:p w14:paraId="5B29B4E7">
      <w:pPr>
        <w:ind w:firstLine="640" w:firstLineChars="200"/>
        <w:jc w:val="left"/>
        <w:rPr>
          <w:rFonts w:eastAsia="仿宋_GB2312" w:cs="方正仿宋_GB2312"/>
          <w:color w:val="auto"/>
          <w:sz w:val="32"/>
          <w:szCs w:val="32"/>
          <w:highlight w:val="none"/>
        </w:rPr>
      </w:pPr>
      <w:r>
        <w:rPr>
          <w:rFonts w:hint="eastAsia" w:eastAsia="仿宋_GB2312" w:cs="方正仿宋_GB2312"/>
          <w:color w:val="auto"/>
          <w:sz w:val="32"/>
          <w:szCs w:val="32"/>
          <w:highlight w:val="none"/>
        </w:rPr>
        <w:t>（一）</w:t>
      </w:r>
      <w:r>
        <w:rPr>
          <w:rFonts w:hint="eastAsia" w:eastAsia="仿宋_GB2312" w:cs="方正仿宋_GB2312"/>
          <w:color w:val="auto"/>
          <w:sz w:val="32"/>
          <w:szCs w:val="32"/>
          <w:highlight w:val="none"/>
          <w:lang w:eastAsia="zh-CN"/>
        </w:rPr>
        <w:t>间隔距离</w:t>
      </w:r>
      <w:r>
        <w:rPr>
          <w:rFonts w:hint="eastAsia" w:eastAsia="仿宋_GB2312" w:cs="方正仿宋_GB2312"/>
          <w:color w:val="auto"/>
          <w:sz w:val="32"/>
          <w:szCs w:val="32"/>
          <w:highlight w:val="none"/>
        </w:rPr>
        <w:t>测量的起点是以申请人经营场所用于消费者正常出入的通道口中心点作为申请点，终点是以临近持证零售户经营场所用于消费者正常出入的通道口中心点或中小学校、幼儿园用于学生正常出入的进出通道口中心点作为参照点，依据《中华人民共和国道路交通安全法》及其《实施条例》中有关行人通行的规定，对两点之间行人可通行的</w:t>
      </w:r>
      <w:r>
        <w:rPr>
          <w:rFonts w:hint="eastAsia" w:ascii="仿宋_GB2312" w:hAnsi="宋体" w:eastAsia="仿宋_GB2312" w:cs="宋体"/>
          <w:color w:val="auto"/>
          <w:kern w:val="0"/>
          <w:sz w:val="32"/>
          <w:szCs w:val="32"/>
          <w:highlight w:val="none"/>
          <w:lang w:bidi="ug-CN"/>
        </w:rPr>
        <w:t>无障碍</w:t>
      </w:r>
      <w:r>
        <w:rPr>
          <w:rFonts w:hint="eastAsia" w:eastAsia="仿宋_GB2312" w:cs="方正仿宋_GB2312"/>
          <w:color w:val="auto"/>
          <w:sz w:val="32"/>
          <w:szCs w:val="32"/>
          <w:highlight w:val="none"/>
        </w:rPr>
        <w:t>最短</w:t>
      </w:r>
      <w:r>
        <w:rPr>
          <w:rFonts w:hint="eastAsia" w:eastAsia="仿宋_GB2312" w:cs="方正仿宋_GB2312"/>
          <w:color w:val="auto"/>
          <w:sz w:val="32"/>
          <w:szCs w:val="32"/>
          <w:highlight w:val="none"/>
          <w:lang w:eastAsia="zh-CN"/>
        </w:rPr>
        <w:t>间隔距离</w:t>
      </w:r>
      <w:r>
        <w:rPr>
          <w:rFonts w:hint="eastAsia" w:eastAsia="仿宋_GB2312" w:cs="方正仿宋_GB2312"/>
          <w:color w:val="auto"/>
          <w:sz w:val="32"/>
          <w:szCs w:val="32"/>
          <w:highlight w:val="none"/>
        </w:rPr>
        <w:t>进行测量。</w:t>
      </w:r>
    </w:p>
    <w:p w14:paraId="015F1682">
      <w:pPr>
        <w:ind w:firstLine="640" w:firstLineChars="200"/>
        <w:jc w:val="left"/>
        <w:rPr>
          <w:rFonts w:eastAsia="仿宋_GB2312" w:cs="方正仿宋_GB2312"/>
          <w:color w:val="auto"/>
          <w:sz w:val="32"/>
          <w:szCs w:val="32"/>
          <w:highlight w:val="none"/>
        </w:rPr>
      </w:pPr>
      <w:r>
        <w:rPr>
          <w:rFonts w:hint="eastAsia" w:eastAsia="仿宋_GB2312" w:cs="方正仿宋_GB2312"/>
          <w:color w:val="auto"/>
          <w:sz w:val="32"/>
          <w:szCs w:val="32"/>
          <w:highlight w:val="none"/>
        </w:rPr>
        <w:t>（二）经营场所的出入口</w:t>
      </w:r>
      <w:r>
        <w:rPr>
          <w:rFonts w:eastAsia="仿宋_GB2312" w:cs="方正仿宋_GB2312"/>
          <w:color w:val="auto"/>
          <w:sz w:val="32"/>
          <w:szCs w:val="32"/>
          <w:highlight w:val="none"/>
        </w:rPr>
        <w:t>不包括</w:t>
      </w:r>
      <w:r>
        <w:rPr>
          <w:rFonts w:hint="eastAsia" w:eastAsia="仿宋_GB2312" w:cs="方正仿宋_GB2312"/>
          <w:color w:val="auto"/>
          <w:sz w:val="32"/>
          <w:szCs w:val="32"/>
          <w:highlight w:val="none"/>
        </w:rPr>
        <w:t>日常不用于消费者出入的</w:t>
      </w:r>
      <w:r>
        <w:rPr>
          <w:rFonts w:eastAsia="仿宋_GB2312" w:cs="方正仿宋_GB2312"/>
          <w:color w:val="auto"/>
          <w:sz w:val="32"/>
          <w:szCs w:val="32"/>
          <w:highlight w:val="none"/>
        </w:rPr>
        <w:t>员工通道、货物通道、消防通道、应急通道、垃圾通道、停车场通道等</w:t>
      </w:r>
      <w:r>
        <w:rPr>
          <w:rFonts w:hint="eastAsia" w:eastAsia="仿宋_GB2312" w:cs="方正仿宋_GB2312"/>
          <w:color w:val="auto"/>
          <w:sz w:val="32"/>
          <w:szCs w:val="32"/>
          <w:highlight w:val="none"/>
        </w:rPr>
        <w:t>专用通道口；中小学、幼儿园的进出通道口</w:t>
      </w:r>
      <w:r>
        <w:rPr>
          <w:rFonts w:eastAsia="仿宋_GB2312" w:cs="方正仿宋_GB2312"/>
          <w:color w:val="auto"/>
          <w:sz w:val="32"/>
          <w:szCs w:val="32"/>
          <w:highlight w:val="none"/>
        </w:rPr>
        <w:t>不包括</w:t>
      </w:r>
      <w:r>
        <w:rPr>
          <w:rFonts w:hint="eastAsia" w:eastAsia="仿宋_GB2312" w:cs="方正仿宋_GB2312"/>
          <w:color w:val="auto"/>
          <w:sz w:val="32"/>
          <w:szCs w:val="32"/>
          <w:highlight w:val="none"/>
        </w:rPr>
        <w:t>日常不用于学生</w:t>
      </w:r>
      <w:r>
        <w:rPr>
          <w:rFonts w:eastAsia="仿宋_GB2312" w:cs="方正仿宋_GB2312"/>
          <w:color w:val="auto"/>
          <w:sz w:val="32"/>
          <w:szCs w:val="32"/>
          <w:highlight w:val="none"/>
        </w:rPr>
        <w:t>正常通行的教职工通道、后勤通道、消防通道、垃圾通道、货运通道等</w:t>
      </w:r>
      <w:r>
        <w:rPr>
          <w:rFonts w:hint="eastAsia" w:eastAsia="仿宋_GB2312" w:cs="方正仿宋_GB2312"/>
          <w:color w:val="auto"/>
          <w:sz w:val="32"/>
          <w:szCs w:val="32"/>
          <w:highlight w:val="none"/>
        </w:rPr>
        <w:t>专用通道口；</w:t>
      </w:r>
    </w:p>
    <w:p w14:paraId="0609FDDA">
      <w:pPr>
        <w:ind w:firstLine="640" w:firstLineChars="200"/>
        <w:jc w:val="left"/>
        <w:rPr>
          <w:rFonts w:eastAsia="仿宋_GB2312" w:cs="方正仿宋_GB2312"/>
          <w:color w:val="auto"/>
          <w:sz w:val="32"/>
          <w:szCs w:val="32"/>
          <w:highlight w:val="none"/>
        </w:rPr>
      </w:pPr>
      <w:r>
        <w:rPr>
          <w:rFonts w:hint="eastAsia" w:eastAsia="仿宋_GB2312" w:cs="方正仿宋_GB2312"/>
          <w:color w:val="auto"/>
          <w:sz w:val="32"/>
          <w:szCs w:val="32"/>
          <w:highlight w:val="none"/>
        </w:rPr>
        <w:t>（三）</w:t>
      </w:r>
      <w:r>
        <w:rPr>
          <w:rFonts w:hint="eastAsia" w:eastAsia="仿宋_GB2312" w:cs="方正仿宋_GB2312"/>
          <w:color w:val="auto"/>
          <w:sz w:val="32"/>
          <w:szCs w:val="32"/>
          <w:highlight w:val="none"/>
          <w:lang w:eastAsia="zh-CN"/>
        </w:rPr>
        <w:t>间隔距离</w:t>
      </w:r>
      <w:r>
        <w:rPr>
          <w:rFonts w:hint="eastAsia" w:eastAsia="仿宋_GB2312" w:cs="方正仿宋_GB2312"/>
          <w:color w:val="auto"/>
          <w:sz w:val="32"/>
          <w:szCs w:val="32"/>
          <w:highlight w:val="none"/>
        </w:rPr>
        <w:t>测量线路中途有障碍物或单侧为墙体等固定物的，原则上测量线路应与障碍物或墙体保持50CM的距离，以符合行人正常通行安全行走路线。</w:t>
      </w:r>
    </w:p>
    <w:p w14:paraId="745A510F">
      <w:pPr>
        <w:ind w:firstLine="640" w:firstLineChars="200"/>
        <w:jc w:val="left"/>
        <w:rPr>
          <w:rFonts w:eastAsia="方正仿宋_GB2312" w:cs="方正仿宋_GB2312"/>
          <w:color w:val="auto"/>
          <w:sz w:val="32"/>
          <w:szCs w:val="32"/>
          <w:highlight w:val="none"/>
        </w:rPr>
      </w:pPr>
      <w:r>
        <w:rPr>
          <w:rFonts w:hint="eastAsia" w:ascii="黑体" w:hAnsi="黑体" w:eastAsia="黑体" w:cs="方正仿宋_GB2312"/>
          <w:bCs/>
          <w:color w:val="auto"/>
          <w:sz w:val="32"/>
          <w:szCs w:val="32"/>
          <w:highlight w:val="none"/>
        </w:rPr>
        <w:t>第四条</w:t>
      </w:r>
      <w:r>
        <w:rPr>
          <w:rFonts w:hint="eastAsia" w:eastAsia="方正仿宋_GB2312" w:cs="方正仿宋_GB2312"/>
          <w:color w:val="auto"/>
          <w:sz w:val="32"/>
          <w:szCs w:val="32"/>
          <w:highlight w:val="none"/>
        </w:rPr>
        <w:t xml:space="preserve">  </w:t>
      </w:r>
      <w:r>
        <w:rPr>
          <w:rFonts w:hint="eastAsia" w:eastAsia="仿宋_GB2312" w:cs="方正仿宋_GB2312"/>
          <w:color w:val="auto"/>
          <w:sz w:val="32"/>
          <w:szCs w:val="32"/>
          <w:highlight w:val="none"/>
        </w:rPr>
        <w:t>应使用测量工具进行</w:t>
      </w:r>
      <w:r>
        <w:rPr>
          <w:rFonts w:hint="eastAsia" w:eastAsia="仿宋_GB2312" w:cs="方正仿宋_GB2312"/>
          <w:color w:val="auto"/>
          <w:sz w:val="32"/>
          <w:szCs w:val="32"/>
          <w:highlight w:val="none"/>
          <w:lang w:eastAsia="zh-CN"/>
        </w:rPr>
        <w:t>间隔距离</w:t>
      </w:r>
      <w:r>
        <w:rPr>
          <w:rFonts w:hint="eastAsia" w:eastAsia="仿宋_GB2312" w:cs="方正仿宋_GB2312"/>
          <w:color w:val="auto"/>
          <w:sz w:val="32"/>
          <w:szCs w:val="32"/>
          <w:highlight w:val="none"/>
        </w:rPr>
        <w:t>测量，申请人或利害关系人对测量结果提出复核的,参与该申请初次实地勘验人员应当回避，由测量单位指派其他执法人员进行二次勘验，并再次制作实地核查勘验表和执法全程视频音频记录。</w:t>
      </w:r>
    </w:p>
    <w:p w14:paraId="35BEB779">
      <w:pPr>
        <w:ind w:firstLine="640" w:firstLineChars="200"/>
        <w:jc w:val="left"/>
        <w:rPr>
          <w:rFonts w:eastAsia="方正仿宋_GB2312" w:cs="方正仿宋_GB2312"/>
          <w:color w:val="auto"/>
          <w:sz w:val="32"/>
          <w:szCs w:val="32"/>
          <w:highlight w:val="none"/>
        </w:rPr>
      </w:pPr>
      <w:r>
        <w:rPr>
          <w:rFonts w:hint="eastAsia" w:ascii="黑体" w:hAnsi="黑体" w:eastAsia="黑体" w:cs="方正仿宋_GB2312"/>
          <w:bCs/>
          <w:color w:val="auto"/>
          <w:sz w:val="32"/>
          <w:szCs w:val="32"/>
          <w:highlight w:val="none"/>
        </w:rPr>
        <w:t>第五条</w:t>
      </w:r>
      <w:r>
        <w:rPr>
          <w:rFonts w:hint="eastAsia" w:eastAsia="方正仿宋_GB2312" w:cs="方正仿宋_GB2312"/>
          <w:color w:val="auto"/>
          <w:sz w:val="32"/>
          <w:szCs w:val="32"/>
          <w:highlight w:val="none"/>
        </w:rPr>
        <w:t xml:space="preserve">  </w:t>
      </w:r>
      <w:r>
        <w:rPr>
          <w:rFonts w:hint="eastAsia" w:eastAsia="仿宋_GB2312" w:cs="方正仿宋_GB2312"/>
          <w:color w:val="auto"/>
          <w:sz w:val="32"/>
          <w:szCs w:val="32"/>
          <w:highlight w:val="none"/>
        </w:rPr>
        <w:t>政府有关部门在街道或道路中已经设置的行人隔离带(栏)、绿化带、固定建筑物等视为障碍物，认定为不可正常安全通行。</w:t>
      </w:r>
    </w:p>
    <w:p w14:paraId="22B27B7D">
      <w:pPr>
        <w:ind w:firstLine="640" w:firstLineChars="200"/>
        <w:jc w:val="left"/>
        <w:rPr>
          <w:rFonts w:eastAsia="方正仿宋_GB2312" w:cs="方正仿宋_GB2312"/>
          <w:color w:val="auto"/>
          <w:sz w:val="32"/>
          <w:szCs w:val="32"/>
          <w:highlight w:val="none"/>
        </w:rPr>
      </w:pPr>
      <w:r>
        <w:rPr>
          <w:rFonts w:hint="eastAsia" w:ascii="黑体" w:hAnsi="黑体" w:eastAsia="黑体" w:cs="方正仿宋_GB2312"/>
          <w:bCs/>
          <w:color w:val="auto"/>
          <w:sz w:val="32"/>
          <w:szCs w:val="32"/>
          <w:highlight w:val="none"/>
        </w:rPr>
        <w:t>第六条</w:t>
      </w:r>
      <w:r>
        <w:rPr>
          <w:rFonts w:hint="eastAsia" w:eastAsia="方正仿宋_GB2312" w:cs="方正仿宋_GB2312"/>
          <w:color w:val="auto"/>
          <w:sz w:val="32"/>
          <w:szCs w:val="32"/>
          <w:highlight w:val="none"/>
        </w:rPr>
        <w:t xml:space="preserve">  </w:t>
      </w:r>
      <w:r>
        <w:rPr>
          <w:rFonts w:hint="eastAsia" w:eastAsia="仿宋_GB2312" w:cs="方正仿宋_GB2312"/>
          <w:color w:val="auto"/>
          <w:sz w:val="32"/>
          <w:szCs w:val="32"/>
          <w:highlight w:val="none"/>
        </w:rPr>
        <w:t>在通行道路上临时设置的安全设施，临时放置的建筑材料、物品，擅自设立、建造的建筑、物体，以及因阶段性施工影响通行等，不视为障碍物。</w:t>
      </w:r>
    </w:p>
    <w:p w14:paraId="7D283932">
      <w:pPr>
        <w:ind w:firstLine="640" w:firstLineChars="200"/>
        <w:jc w:val="left"/>
        <w:rPr>
          <w:rFonts w:hint="eastAsia" w:eastAsia="仿宋_GB2312" w:cs="方正仿宋_GB2312"/>
          <w:color w:val="auto"/>
          <w:sz w:val="32"/>
          <w:szCs w:val="32"/>
          <w:highlight w:val="none"/>
          <w:lang w:val="en-US" w:eastAsia="zh-CN"/>
        </w:rPr>
      </w:pPr>
      <w:r>
        <w:rPr>
          <w:rFonts w:hint="eastAsia" w:ascii="黑体" w:hAnsi="黑体" w:eastAsia="黑体" w:cs="方正仿宋_GB2312"/>
          <w:bCs/>
          <w:color w:val="auto"/>
          <w:sz w:val="32"/>
          <w:szCs w:val="32"/>
          <w:highlight w:val="none"/>
        </w:rPr>
        <w:t>第七条</w:t>
      </w:r>
      <w:r>
        <w:rPr>
          <w:rFonts w:hint="eastAsia" w:eastAsia="仿宋_GB2312" w:cs="方正仿宋_GB2312"/>
          <w:color w:val="auto"/>
          <w:sz w:val="32"/>
          <w:szCs w:val="32"/>
          <w:highlight w:val="none"/>
        </w:rPr>
        <w:t xml:space="preserve">  </w:t>
      </w:r>
      <w:r>
        <w:rPr>
          <w:rFonts w:hint="eastAsia" w:eastAsia="仿宋_GB2312" w:cs="方正仿宋_GB2312"/>
          <w:color w:val="auto"/>
          <w:sz w:val="32"/>
          <w:szCs w:val="32"/>
          <w:highlight w:val="none"/>
          <w:lang w:eastAsia="zh-CN"/>
        </w:rPr>
        <w:t>间隔距离</w:t>
      </w:r>
      <w:r>
        <w:rPr>
          <w:rFonts w:hint="eastAsia" w:eastAsia="仿宋_GB2312" w:cs="方正仿宋_GB2312"/>
          <w:color w:val="auto"/>
          <w:sz w:val="32"/>
          <w:szCs w:val="32"/>
          <w:highlight w:val="none"/>
        </w:rPr>
        <w:t>测量标准</w:t>
      </w:r>
      <w:r>
        <w:rPr>
          <w:rFonts w:hint="eastAsia" w:eastAsia="仿宋_GB2312" w:cs="方正仿宋_GB2312"/>
          <w:color w:val="auto"/>
          <w:sz w:val="32"/>
          <w:szCs w:val="32"/>
          <w:highlight w:val="none"/>
          <w:lang w:val="en-US" w:eastAsia="zh-CN"/>
        </w:rPr>
        <w:t>:</w:t>
      </w:r>
    </w:p>
    <w:p w14:paraId="00521673">
      <w:pPr>
        <w:ind w:firstLine="640" w:firstLineChars="200"/>
        <w:jc w:val="left"/>
        <w:rPr>
          <w:rFonts w:eastAsia="仿宋_GB2312" w:cs="方正仿宋_GB2312"/>
          <w:color w:val="auto"/>
          <w:sz w:val="32"/>
          <w:szCs w:val="32"/>
          <w:highlight w:val="none"/>
        </w:rPr>
      </w:pPr>
      <w:r>
        <w:rPr>
          <w:rFonts w:hint="eastAsia" w:eastAsia="仿宋_GB2312" w:cs="方正仿宋_GB2312"/>
          <w:color w:val="auto"/>
          <w:sz w:val="32"/>
          <w:szCs w:val="32"/>
          <w:highlight w:val="none"/>
        </w:rPr>
        <w:t>（一）申请点与参照点在道路同侧无障碍物的，测量最短直线距离(如图1所示)。</w:t>
      </w:r>
    </w:p>
    <w:p w14:paraId="34A63401">
      <w:pPr>
        <w:jc w:val="center"/>
        <w:rPr>
          <w:rFonts w:eastAsia="方正仿宋_GB2312" w:cs="方正仿宋_GB2312"/>
          <w:color w:val="auto"/>
          <w:sz w:val="32"/>
          <w:szCs w:val="32"/>
          <w:highlight w:val="none"/>
        </w:rPr>
      </w:pPr>
      <w:r>
        <w:rPr>
          <w:rFonts w:eastAsia="方正仿宋_GB2312" w:cs="方正仿宋_GB2312"/>
          <w:color w:val="auto"/>
          <w:sz w:val="32"/>
          <w:szCs w:val="32"/>
          <w:highlight w:val="none"/>
        </w:rPr>
        <w:drawing>
          <wp:inline distT="0" distB="0" distL="114300" distR="114300">
            <wp:extent cx="5572760" cy="2105025"/>
            <wp:effectExtent l="0" t="0" r="8890" b="9525"/>
            <wp:docPr id="3" name="图片 1" descr="173976199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739761991931"/>
                    <pic:cNvPicPr>
                      <a:picLocks noChangeAspect="1"/>
                    </pic:cNvPicPr>
                  </pic:nvPicPr>
                  <pic:blipFill>
                    <a:blip r:embed="rId5"/>
                    <a:stretch>
                      <a:fillRect/>
                    </a:stretch>
                  </pic:blipFill>
                  <pic:spPr>
                    <a:xfrm>
                      <a:off x="0" y="0"/>
                      <a:ext cx="5572760" cy="2105025"/>
                    </a:xfrm>
                    <a:prstGeom prst="rect">
                      <a:avLst/>
                    </a:prstGeom>
                    <a:noFill/>
                    <a:ln>
                      <a:noFill/>
                    </a:ln>
                  </pic:spPr>
                </pic:pic>
              </a:graphicData>
            </a:graphic>
          </wp:inline>
        </w:drawing>
      </w:r>
    </w:p>
    <w:p w14:paraId="6D140D6A">
      <w:pPr>
        <w:jc w:val="center"/>
        <w:rPr>
          <w:rFonts w:eastAsia="仿宋_GB2312" w:cs="方正仿宋_GB2312"/>
          <w:color w:val="auto"/>
          <w:sz w:val="32"/>
          <w:szCs w:val="32"/>
          <w:highlight w:val="none"/>
        </w:rPr>
      </w:pPr>
      <w:r>
        <w:rPr>
          <w:rFonts w:hint="eastAsia" w:eastAsia="仿宋_GB2312" w:cs="方正仿宋_GB2312"/>
          <w:color w:val="auto"/>
          <w:sz w:val="32"/>
          <w:szCs w:val="32"/>
          <w:highlight w:val="none"/>
        </w:rPr>
        <w:t>（图1）</w:t>
      </w:r>
    </w:p>
    <w:p w14:paraId="6A93D0CC">
      <w:pPr>
        <w:ind w:firstLine="640" w:firstLineChars="200"/>
        <w:rPr>
          <w:rFonts w:eastAsia="仿宋_GB2312" w:cs="方正仿宋_GB2312"/>
          <w:color w:val="auto"/>
          <w:sz w:val="32"/>
          <w:szCs w:val="32"/>
          <w:highlight w:val="none"/>
        </w:rPr>
      </w:pPr>
      <w:r>
        <w:rPr>
          <w:rFonts w:hint="eastAsia" w:eastAsia="仿宋_GB2312" w:cs="方正仿宋_GB2312"/>
          <w:color w:val="auto"/>
          <w:sz w:val="32"/>
          <w:szCs w:val="32"/>
          <w:highlight w:val="none"/>
        </w:rPr>
        <w:t>（二）申请点与参照点在道路异侧无障碍物的，道路路口没有设置人行横道或者过街设施的，应当在确认安全后按申请点与参照点的直线距离测量(如图2所示)。</w:t>
      </w:r>
    </w:p>
    <w:p w14:paraId="5ADE6CC7">
      <w:pPr>
        <w:jc w:val="center"/>
        <w:rPr>
          <w:rFonts w:eastAsia="仿宋_GB2312" w:cs="方正仿宋_GB2312"/>
          <w:color w:val="auto"/>
          <w:sz w:val="32"/>
          <w:szCs w:val="32"/>
          <w:highlight w:val="none"/>
        </w:rPr>
      </w:pPr>
      <w:r>
        <w:rPr>
          <w:rFonts w:eastAsia="仿宋_GB2312" w:cs="方正仿宋_GB2312"/>
          <w:color w:val="auto"/>
          <w:sz w:val="32"/>
          <w:szCs w:val="32"/>
          <w:highlight w:val="none"/>
        </w:rPr>
        <w:drawing>
          <wp:inline distT="0" distB="0" distL="114300" distR="114300">
            <wp:extent cx="5339715" cy="2372360"/>
            <wp:effectExtent l="0" t="0" r="13335" b="8890"/>
            <wp:docPr id="1" name="图片 2" descr="173976208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39762080641"/>
                    <pic:cNvPicPr>
                      <a:picLocks noChangeAspect="1"/>
                    </pic:cNvPicPr>
                  </pic:nvPicPr>
                  <pic:blipFill>
                    <a:blip r:embed="rId6"/>
                    <a:stretch>
                      <a:fillRect/>
                    </a:stretch>
                  </pic:blipFill>
                  <pic:spPr>
                    <a:xfrm>
                      <a:off x="0" y="0"/>
                      <a:ext cx="5339715" cy="2372360"/>
                    </a:xfrm>
                    <a:prstGeom prst="rect">
                      <a:avLst/>
                    </a:prstGeom>
                    <a:noFill/>
                    <a:ln>
                      <a:noFill/>
                    </a:ln>
                  </pic:spPr>
                </pic:pic>
              </a:graphicData>
            </a:graphic>
          </wp:inline>
        </w:drawing>
      </w:r>
    </w:p>
    <w:p w14:paraId="1E2539EF">
      <w:pPr>
        <w:jc w:val="center"/>
        <w:rPr>
          <w:rFonts w:eastAsia="仿宋_GB2312" w:cs="方正仿宋_GB2312"/>
          <w:color w:val="auto"/>
          <w:sz w:val="32"/>
          <w:szCs w:val="32"/>
          <w:highlight w:val="none"/>
        </w:rPr>
      </w:pPr>
      <w:r>
        <w:rPr>
          <w:rFonts w:hint="eastAsia" w:eastAsia="仿宋_GB2312" w:cs="方正仿宋_GB2312"/>
          <w:color w:val="auto"/>
          <w:sz w:val="32"/>
          <w:szCs w:val="32"/>
          <w:highlight w:val="none"/>
        </w:rPr>
        <w:t>（图2）</w:t>
      </w:r>
    </w:p>
    <w:p w14:paraId="2EC4FBAC">
      <w:pPr>
        <w:ind w:firstLine="640" w:firstLineChars="200"/>
        <w:jc w:val="left"/>
        <w:rPr>
          <w:rFonts w:eastAsia="仿宋_GB2312" w:cs="方正仿宋_GB2312"/>
          <w:color w:val="auto"/>
          <w:sz w:val="32"/>
          <w:szCs w:val="32"/>
          <w:highlight w:val="none"/>
        </w:rPr>
      </w:pPr>
      <w:r>
        <w:rPr>
          <w:rFonts w:hint="eastAsia" w:eastAsia="仿宋_GB2312" w:cs="方正仿宋_GB2312"/>
          <w:color w:val="auto"/>
          <w:sz w:val="32"/>
          <w:szCs w:val="32"/>
          <w:highlight w:val="none"/>
        </w:rPr>
        <w:t>（三）申请点与参照点在道路</w:t>
      </w:r>
      <w:r>
        <w:rPr>
          <w:rFonts w:eastAsia="仿宋_GB2312" w:cs="方正仿宋_GB2312"/>
          <w:color w:val="auto"/>
          <w:sz w:val="32"/>
          <w:szCs w:val="32"/>
          <w:highlight w:val="none"/>
        </w:rPr>
        <w:t>异侧存在障碍物的,</w:t>
      </w:r>
      <w:r>
        <w:rPr>
          <w:rFonts w:hint="eastAsia" w:eastAsia="仿宋_GB2312" w:cs="方正仿宋_GB2312"/>
          <w:color w:val="auto"/>
          <w:sz w:val="32"/>
          <w:szCs w:val="32"/>
          <w:highlight w:val="none"/>
        </w:rPr>
        <w:t>道路路口没有设置人行横道或者过街设施的，应当在确认安全后，</w:t>
      </w:r>
      <w:r>
        <w:rPr>
          <w:rFonts w:eastAsia="仿宋_GB2312" w:cs="方正仿宋_GB2312"/>
          <w:color w:val="auto"/>
          <w:sz w:val="32"/>
          <w:szCs w:val="32"/>
          <w:highlight w:val="none"/>
        </w:rPr>
        <w:t>分段绕过障碍物测量</w:t>
      </w:r>
      <w:r>
        <w:rPr>
          <w:rFonts w:hint="eastAsia" w:eastAsia="仿宋_GB2312" w:cs="方正仿宋_GB2312"/>
          <w:color w:val="auto"/>
          <w:sz w:val="32"/>
          <w:szCs w:val="32"/>
          <w:highlight w:val="none"/>
        </w:rPr>
        <w:t>，</w:t>
      </w:r>
      <w:r>
        <w:rPr>
          <w:rFonts w:eastAsia="仿宋_GB2312" w:cs="方正仿宋_GB2312"/>
          <w:color w:val="auto"/>
          <w:sz w:val="32"/>
          <w:szCs w:val="32"/>
          <w:highlight w:val="none"/>
        </w:rPr>
        <w:t>分段距离之和即为</w:t>
      </w:r>
      <w:r>
        <w:rPr>
          <w:rFonts w:hint="eastAsia" w:eastAsia="仿宋_GB2312" w:cs="方正仿宋_GB2312"/>
          <w:color w:val="auto"/>
          <w:sz w:val="32"/>
          <w:szCs w:val="32"/>
          <w:highlight w:val="none"/>
        </w:rPr>
        <w:t>申请点与参照点的距离</w:t>
      </w:r>
      <w:r>
        <w:rPr>
          <w:rFonts w:eastAsia="仿宋_GB2312" w:cs="方正仿宋_GB2312"/>
          <w:color w:val="auto"/>
          <w:sz w:val="32"/>
          <w:szCs w:val="32"/>
          <w:highlight w:val="none"/>
        </w:rPr>
        <w:t>(如图</w:t>
      </w:r>
      <w:r>
        <w:rPr>
          <w:rFonts w:hint="eastAsia" w:eastAsia="仿宋_GB2312" w:cs="方正仿宋_GB2312"/>
          <w:color w:val="auto"/>
          <w:sz w:val="32"/>
          <w:szCs w:val="32"/>
          <w:highlight w:val="none"/>
        </w:rPr>
        <w:t>3所</w:t>
      </w:r>
      <w:r>
        <w:rPr>
          <w:rFonts w:eastAsia="仿宋_GB2312" w:cs="方正仿宋_GB2312"/>
          <w:color w:val="auto"/>
          <w:sz w:val="32"/>
          <w:szCs w:val="32"/>
          <w:highlight w:val="none"/>
        </w:rPr>
        <w:t>示)。</w:t>
      </w:r>
    </w:p>
    <w:p w14:paraId="05F617CF">
      <w:pPr>
        <w:jc w:val="center"/>
        <w:rPr>
          <w:rFonts w:eastAsia="仿宋_GB2312" w:cs="方正仿宋_GB2312"/>
          <w:color w:val="auto"/>
          <w:sz w:val="32"/>
          <w:szCs w:val="32"/>
          <w:highlight w:val="none"/>
        </w:rPr>
      </w:pPr>
      <w:r>
        <w:rPr>
          <w:rFonts w:eastAsia="仿宋_GB2312" w:cs="方正仿宋_GB2312"/>
          <w:color w:val="auto"/>
          <w:sz w:val="32"/>
          <w:szCs w:val="32"/>
          <w:highlight w:val="none"/>
        </w:rPr>
        <w:drawing>
          <wp:inline distT="0" distB="0" distL="114300" distR="114300">
            <wp:extent cx="5520690" cy="2303145"/>
            <wp:effectExtent l="0" t="0" r="3810" b="1905"/>
            <wp:docPr id="5" name="图片 3" descr="174009889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740098897186"/>
                    <pic:cNvPicPr>
                      <a:picLocks noChangeAspect="1"/>
                    </pic:cNvPicPr>
                  </pic:nvPicPr>
                  <pic:blipFill>
                    <a:blip r:embed="rId7"/>
                    <a:stretch>
                      <a:fillRect/>
                    </a:stretch>
                  </pic:blipFill>
                  <pic:spPr>
                    <a:xfrm>
                      <a:off x="0" y="0"/>
                      <a:ext cx="5520690" cy="2303145"/>
                    </a:xfrm>
                    <a:prstGeom prst="rect">
                      <a:avLst/>
                    </a:prstGeom>
                    <a:noFill/>
                    <a:ln>
                      <a:noFill/>
                    </a:ln>
                  </pic:spPr>
                </pic:pic>
              </a:graphicData>
            </a:graphic>
          </wp:inline>
        </w:drawing>
      </w:r>
    </w:p>
    <w:p w14:paraId="4571D528">
      <w:pPr>
        <w:jc w:val="center"/>
        <w:rPr>
          <w:rFonts w:eastAsia="仿宋_GB2312" w:cs="方正仿宋_GB2312"/>
          <w:color w:val="auto"/>
          <w:sz w:val="32"/>
          <w:szCs w:val="32"/>
          <w:highlight w:val="none"/>
        </w:rPr>
      </w:pPr>
      <w:r>
        <w:rPr>
          <w:rFonts w:hint="eastAsia" w:eastAsia="仿宋_GB2312" w:cs="方正仿宋_GB2312"/>
          <w:color w:val="auto"/>
          <w:sz w:val="32"/>
          <w:szCs w:val="32"/>
          <w:highlight w:val="none"/>
        </w:rPr>
        <w:t>（图3）</w:t>
      </w:r>
    </w:p>
    <w:p w14:paraId="74C12CCE">
      <w:pPr>
        <w:ind w:firstLine="640" w:firstLineChars="200"/>
        <w:jc w:val="left"/>
        <w:rPr>
          <w:rFonts w:eastAsia="仿宋_GB2312" w:cs="方正仿宋_GB2312"/>
          <w:color w:val="auto"/>
          <w:sz w:val="32"/>
          <w:szCs w:val="32"/>
          <w:highlight w:val="none"/>
        </w:rPr>
      </w:pPr>
      <w:r>
        <w:rPr>
          <w:rFonts w:hint="eastAsia" w:eastAsia="仿宋_GB2312" w:cs="方正仿宋_GB2312"/>
          <w:color w:val="auto"/>
          <w:sz w:val="32"/>
          <w:szCs w:val="32"/>
          <w:highlight w:val="none"/>
        </w:rPr>
        <w:t>（四）申请点与参照点</w:t>
      </w:r>
      <w:r>
        <w:rPr>
          <w:rFonts w:eastAsia="仿宋_GB2312" w:cs="方正仿宋_GB2312"/>
          <w:color w:val="auto"/>
          <w:sz w:val="32"/>
          <w:szCs w:val="32"/>
          <w:highlight w:val="none"/>
        </w:rPr>
        <w:t>之间道路存在有转角的,按直角分段测量最短距离(如图</w:t>
      </w:r>
      <w:r>
        <w:rPr>
          <w:rFonts w:hint="eastAsia" w:eastAsia="仿宋_GB2312" w:cs="方正仿宋_GB2312"/>
          <w:color w:val="auto"/>
          <w:sz w:val="32"/>
          <w:szCs w:val="32"/>
          <w:highlight w:val="none"/>
        </w:rPr>
        <w:t>4</w:t>
      </w:r>
      <w:r>
        <w:rPr>
          <w:rFonts w:eastAsia="仿宋_GB2312" w:cs="方正仿宋_GB2312"/>
          <w:color w:val="auto"/>
          <w:sz w:val="32"/>
          <w:szCs w:val="32"/>
          <w:highlight w:val="none"/>
        </w:rPr>
        <w:t>所示)。</w:t>
      </w:r>
    </w:p>
    <w:p w14:paraId="0722DED5">
      <w:pPr>
        <w:jc w:val="center"/>
        <w:rPr>
          <w:rFonts w:eastAsia="仿宋_GB2312" w:cs="方正仿宋_GB2312"/>
          <w:color w:val="auto"/>
          <w:sz w:val="32"/>
          <w:szCs w:val="32"/>
          <w:highlight w:val="none"/>
        </w:rPr>
      </w:pPr>
      <w:r>
        <w:rPr>
          <w:rFonts w:eastAsia="仿宋_GB2312" w:cs="方正仿宋_GB2312"/>
          <w:color w:val="auto"/>
          <w:sz w:val="32"/>
          <w:szCs w:val="32"/>
          <w:highlight w:val="none"/>
        </w:rPr>
        <w:drawing>
          <wp:inline distT="0" distB="0" distL="114300" distR="114300">
            <wp:extent cx="5563870" cy="2820670"/>
            <wp:effectExtent l="0" t="0" r="17780" b="17780"/>
            <wp:docPr id="6" name="图片 4" descr="1740098959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1740098959314"/>
                    <pic:cNvPicPr>
                      <a:picLocks noChangeAspect="1"/>
                    </pic:cNvPicPr>
                  </pic:nvPicPr>
                  <pic:blipFill>
                    <a:blip r:embed="rId8"/>
                    <a:stretch>
                      <a:fillRect/>
                    </a:stretch>
                  </pic:blipFill>
                  <pic:spPr>
                    <a:xfrm>
                      <a:off x="0" y="0"/>
                      <a:ext cx="5563870" cy="2820670"/>
                    </a:xfrm>
                    <a:prstGeom prst="rect">
                      <a:avLst/>
                    </a:prstGeom>
                    <a:noFill/>
                    <a:ln>
                      <a:noFill/>
                    </a:ln>
                  </pic:spPr>
                </pic:pic>
              </a:graphicData>
            </a:graphic>
          </wp:inline>
        </w:drawing>
      </w:r>
    </w:p>
    <w:p w14:paraId="7F850EBA">
      <w:pPr>
        <w:jc w:val="center"/>
        <w:rPr>
          <w:rFonts w:eastAsia="仿宋_GB2312" w:cs="方正仿宋_GB2312"/>
          <w:color w:val="auto"/>
          <w:sz w:val="32"/>
          <w:szCs w:val="32"/>
          <w:highlight w:val="none"/>
        </w:rPr>
      </w:pPr>
      <w:r>
        <w:rPr>
          <w:rFonts w:hint="eastAsia" w:eastAsia="仿宋_GB2312" w:cs="方正仿宋_GB2312"/>
          <w:color w:val="auto"/>
          <w:sz w:val="32"/>
          <w:szCs w:val="32"/>
          <w:highlight w:val="none"/>
        </w:rPr>
        <w:t>（图4）</w:t>
      </w:r>
    </w:p>
    <w:p w14:paraId="434C2DA0">
      <w:pPr>
        <w:ind w:firstLine="640" w:firstLineChars="200"/>
        <w:jc w:val="left"/>
        <w:rPr>
          <w:rFonts w:eastAsia="仿宋_GB2312" w:cs="方正仿宋_GB2312"/>
          <w:color w:val="auto"/>
          <w:sz w:val="32"/>
          <w:szCs w:val="32"/>
          <w:highlight w:val="none"/>
        </w:rPr>
      </w:pPr>
      <w:r>
        <w:rPr>
          <w:rFonts w:hint="eastAsia" w:eastAsia="仿宋_GB2312" w:cs="方正仿宋_GB2312"/>
          <w:color w:val="auto"/>
          <w:sz w:val="32"/>
          <w:szCs w:val="32"/>
          <w:highlight w:val="none"/>
        </w:rPr>
        <w:t>（五）申请点经营场所门面多面(多间)贯通且均开放经营的,道路路口没有设置人行横道或者过街设施的，应当在确认安全后，按申请点与参照点的直线距离测量(如图5所示)。</w:t>
      </w:r>
    </w:p>
    <w:p w14:paraId="09CFFEAA">
      <w:pPr>
        <w:jc w:val="left"/>
        <w:rPr>
          <w:rFonts w:eastAsia="方正仿宋_GB2312" w:cs="方正仿宋_GB2312"/>
          <w:color w:val="auto"/>
          <w:sz w:val="32"/>
          <w:szCs w:val="32"/>
          <w:highlight w:val="none"/>
        </w:rPr>
      </w:pPr>
      <w:r>
        <w:rPr>
          <w:rFonts w:eastAsia="方正仿宋_GB2312" w:cs="方正仿宋_GB2312"/>
          <w:color w:val="auto"/>
          <w:sz w:val="32"/>
          <w:szCs w:val="32"/>
          <w:highlight w:val="none"/>
        </w:rPr>
        <w:drawing>
          <wp:inline distT="0" distB="0" distL="114300" distR="114300">
            <wp:extent cx="5477510" cy="2639695"/>
            <wp:effectExtent l="0" t="0" r="8890" b="8255"/>
            <wp:docPr id="2" name="图片 5" descr="17389769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1738976957298"/>
                    <pic:cNvPicPr>
                      <a:picLocks noChangeAspect="1"/>
                    </pic:cNvPicPr>
                  </pic:nvPicPr>
                  <pic:blipFill>
                    <a:blip r:embed="rId9"/>
                    <a:stretch>
                      <a:fillRect/>
                    </a:stretch>
                  </pic:blipFill>
                  <pic:spPr>
                    <a:xfrm>
                      <a:off x="0" y="0"/>
                      <a:ext cx="5477510" cy="2639695"/>
                    </a:xfrm>
                    <a:prstGeom prst="rect">
                      <a:avLst/>
                    </a:prstGeom>
                    <a:noFill/>
                    <a:ln>
                      <a:noFill/>
                    </a:ln>
                  </pic:spPr>
                </pic:pic>
              </a:graphicData>
            </a:graphic>
          </wp:inline>
        </w:drawing>
      </w:r>
    </w:p>
    <w:p w14:paraId="6B0EC446">
      <w:pPr>
        <w:jc w:val="center"/>
        <w:rPr>
          <w:rFonts w:eastAsia="仿宋_GB2312" w:cs="方正仿宋_GB2312"/>
          <w:color w:val="auto"/>
          <w:sz w:val="32"/>
          <w:szCs w:val="32"/>
          <w:highlight w:val="none"/>
        </w:rPr>
      </w:pPr>
      <w:r>
        <w:rPr>
          <w:rFonts w:hint="eastAsia" w:eastAsia="仿宋_GB2312" w:cs="方正仿宋_GB2312"/>
          <w:color w:val="auto"/>
          <w:sz w:val="32"/>
          <w:szCs w:val="32"/>
          <w:highlight w:val="none"/>
        </w:rPr>
        <w:t>（图5）</w:t>
      </w:r>
    </w:p>
    <w:p w14:paraId="397029B8">
      <w:pPr>
        <w:ind w:firstLine="640" w:firstLineChars="200"/>
        <w:jc w:val="left"/>
        <w:rPr>
          <w:rFonts w:eastAsia="仿宋_GB2312" w:cs="方正仿宋_GB2312"/>
          <w:color w:val="auto"/>
          <w:sz w:val="32"/>
          <w:szCs w:val="32"/>
          <w:highlight w:val="none"/>
        </w:rPr>
      </w:pPr>
      <w:r>
        <w:rPr>
          <w:rFonts w:hint="eastAsia" w:eastAsia="仿宋_GB2312" w:cs="方正仿宋_GB2312"/>
          <w:color w:val="auto"/>
          <w:sz w:val="32"/>
          <w:szCs w:val="32"/>
          <w:highlight w:val="none"/>
        </w:rPr>
        <w:t>（六）有人行横道或过街设施的十字路口测量（如图</w:t>
      </w:r>
      <w:r>
        <w:rPr>
          <w:rFonts w:eastAsia="仿宋_GB2312" w:cs="方正仿宋_GB2312"/>
          <w:color w:val="auto"/>
          <w:sz w:val="32"/>
          <w:szCs w:val="32"/>
          <w:highlight w:val="none"/>
        </w:rPr>
        <w:t>6</w:t>
      </w:r>
      <w:r>
        <w:rPr>
          <w:rFonts w:hint="eastAsia" w:eastAsia="仿宋_GB2312" w:cs="方正仿宋_GB2312"/>
          <w:color w:val="auto"/>
          <w:sz w:val="32"/>
          <w:szCs w:val="32"/>
          <w:highlight w:val="none"/>
        </w:rPr>
        <w:t>所示）。</w:t>
      </w:r>
    </w:p>
    <w:p w14:paraId="3AA857D3">
      <w:pPr>
        <w:jc w:val="center"/>
        <w:rPr>
          <w:rFonts w:eastAsia="仿宋_GB2312" w:cs="方正仿宋_GB2312"/>
          <w:color w:val="auto"/>
          <w:sz w:val="32"/>
          <w:szCs w:val="32"/>
          <w:highlight w:val="none"/>
        </w:rPr>
      </w:pPr>
      <w:r>
        <w:rPr>
          <w:rFonts w:eastAsia="仿宋_GB2312" w:cs="方正仿宋_GB2312"/>
          <w:color w:val="auto"/>
          <w:sz w:val="32"/>
          <w:szCs w:val="32"/>
          <w:highlight w:val="none"/>
        </w:rPr>
        <w:drawing>
          <wp:inline distT="0" distB="0" distL="114300" distR="114300">
            <wp:extent cx="5193030" cy="2691130"/>
            <wp:effectExtent l="0" t="0" r="7620" b="13970"/>
            <wp:docPr id="7" name="图片 6" descr="173897697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1738976974636"/>
                    <pic:cNvPicPr>
                      <a:picLocks noChangeAspect="1"/>
                    </pic:cNvPicPr>
                  </pic:nvPicPr>
                  <pic:blipFill>
                    <a:blip r:embed="rId10"/>
                    <a:stretch>
                      <a:fillRect/>
                    </a:stretch>
                  </pic:blipFill>
                  <pic:spPr>
                    <a:xfrm>
                      <a:off x="0" y="0"/>
                      <a:ext cx="5193030" cy="2691130"/>
                    </a:xfrm>
                    <a:prstGeom prst="rect">
                      <a:avLst/>
                    </a:prstGeom>
                    <a:noFill/>
                    <a:ln>
                      <a:noFill/>
                    </a:ln>
                  </pic:spPr>
                </pic:pic>
              </a:graphicData>
            </a:graphic>
          </wp:inline>
        </w:drawing>
      </w:r>
    </w:p>
    <w:p w14:paraId="553B6B2E">
      <w:pPr>
        <w:jc w:val="center"/>
        <w:rPr>
          <w:rFonts w:eastAsia="仿宋_GB2312" w:cs="方正仿宋_GB2312"/>
          <w:color w:val="auto"/>
          <w:sz w:val="32"/>
          <w:szCs w:val="32"/>
          <w:highlight w:val="none"/>
        </w:rPr>
      </w:pPr>
      <w:r>
        <w:rPr>
          <w:rFonts w:hint="eastAsia" w:eastAsia="仿宋_GB2312" w:cs="方正仿宋_GB2312"/>
          <w:color w:val="auto"/>
          <w:sz w:val="32"/>
          <w:szCs w:val="32"/>
          <w:highlight w:val="none"/>
        </w:rPr>
        <w:t>（图</w:t>
      </w:r>
      <w:r>
        <w:rPr>
          <w:rFonts w:eastAsia="仿宋_GB2312" w:cs="方正仿宋_GB2312"/>
          <w:color w:val="auto"/>
          <w:sz w:val="32"/>
          <w:szCs w:val="32"/>
          <w:highlight w:val="none"/>
        </w:rPr>
        <w:t>6</w:t>
      </w:r>
      <w:r>
        <w:rPr>
          <w:rFonts w:hint="eastAsia" w:eastAsia="仿宋_GB2312" w:cs="方正仿宋_GB2312"/>
          <w:color w:val="auto"/>
          <w:sz w:val="32"/>
          <w:szCs w:val="32"/>
          <w:highlight w:val="none"/>
        </w:rPr>
        <w:t>）</w:t>
      </w:r>
    </w:p>
    <w:p w14:paraId="286E9F3F">
      <w:pPr>
        <w:ind w:firstLine="640" w:firstLineChars="200"/>
        <w:jc w:val="left"/>
        <w:rPr>
          <w:rFonts w:eastAsia="仿宋_GB2312" w:cs="方正仿宋_GB2312"/>
          <w:color w:val="auto"/>
          <w:sz w:val="32"/>
          <w:szCs w:val="32"/>
          <w:highlight w:val="none"/>
        </w:rPr>
      </w:pPr>
      <w:r>
        <w:rPr>
          <w:rFonts w:hint="eastAsia" w:eastAsia="仿宋_GB2312" w:cs="方正仿宋_GB2312"/>
          <w:color w:val="auto"/>
          <w:sz w:val="32"/>
          <w:szCs w:val="32"/>
          <w:highlight w:val="none"/>
        </w:rPr>
        <w:t>（七）申请人的经营场所与最近零售点的经营场所之间有台阶、楼梯的，以其平面坡长进行测量（如图</w:t>
      </w:r>
      <w:r>
        <w:rPr>
          <w:rFonts w:eastAsia="仿宋_GB2312" w:cs="方正仿宋_GB2312"/>
          <w:color w:val="auto"/>
          <w:sz w:val="32"/>
          <w:szCs w:val="32"/>
          <w:highlight w:val="none"/>
        </w:rPr>
        <w:t>7</w:t>
      </w:r>
      <w:r>
        <w:rPr>
          <w:rFonts w:hint="eastAsia" w:eastAsia="仿宋_GB2312" w:cs="方正仿宋_GB2312"/>
          <w:color w:val="auto"/>
          <w:sz w:val="32"/>
          <w:szCs w:val="32"/>
          <w:highlight w:val="none"/>
        </w:rPr>
        <w:t>所示）；有电梯的，以层高进行测量；楼梯与电梯并存的，以最短距离的为准。</w:t>
      </w:r>
    </w:p>
    <w:p w14:paraId="25E57847">
      <w:pPr>
        <w:jc w:val="center"/>
        <w:rPr>
          <w:rFonts w:eastAsia="仿宋_GB2312" w:cs="方正仿宋_GB2312"/>
          <w:color w:val="auto"/>
          <w:sz w:val="32"/>
          <w:szCs w:val="32"/>
          <w:highlight w:val="none"/>
        </w:rPr>
      </w:pPr>
      <w:r>
        <w:rPr>
          <w:rFonts w:eastAsia="仿宋_GB2312" w:cs="方正仿宋_GB2312"/>
          <w:color w:val="auto"/>
          <w:sz w:val="32"/>
          <w:szCs w:val="32"/>
          <w:highlight w:val="none"/>
        </w:rPr>
        <w:drawing>
          <wp:inline distT="0" distB="0" distL="114300" distR="114300">
            <wp:extent cx="4942840" cy="2579370"/>
            <wp:effectExtent l="0" t="0" r="10160" b="11430"/>
            <wp:docPr id="4" name="图片 7" descr="173897700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1738977002400"/>
                    <pic:cNvPicPr>
                      <a:picLocks noChangeAspect="1"/>
                    </pic:cNvPicPr>
                  </pic:nvPicPr>
                  <pic:blipFill>
                    <a:blip r:embed="rId11"/>
                    <a:stretch>
                      <a:fillRect/>
                    </a:stretch>
                  </pic:blipFill>
                  <pic:spPr>
                    <a:xfrm>
                      <a:off x="0" y="0"/>
                      <a:ext cx="4942840" cy="2579370"/>
                    </a:xfrm>
                    <a:prstGeom prst="rect">
                      <a:avLst/>
                    </a:prstGeom>
                    <a:noFill/>
                    <a:ln>
                      <a:noFill/>
                    </a:ln>
                  </pic:spPr>
                </pic:pic>
              </a:graphicData>
            </a:graphic>
          </wp:inline>
        </w:drawing>
      </w:r>
    </w:p>
    <w:p w14:paraId="407DEFE3">
      <w:pPr>
        <w:jc w:val="center"/>
        <w:rPr>
          <w:rFonts w:eastAsia="仿宋_GB2312" w:cs="方正仿宋_GB2312"/>
          <w:color w:val="auto"/>
          <w:sz w:val="32"/>
          <w:szCs w:val="32"/>
          <w:highlight w:val="none"/>
        </w:rPr>
      </w:pPr>
      <w:r>
        <w:rPr>
          <w:rFonts w:hint="eastAsia" w:eastAsia="仿宋_GB2312" w:cs="方正仿宋_GB2312"/>
          <w:color w:val="auto"/>
          <w:sz w:val="32"/>
          <w:szCs w:val="32"/>
          <w:highlight w:val="none"/>
        </w:rPr>
        <w:t>（图</w:t>
      </w:r>
      <w:r>
        <w:rPr>
          <w:rFonts w:eastAsia="仿宋_GB2312" w:cs="方正仿宋_GB2312"/>
          <w:color w:val="auto"/>
          <w:sz w:val="32"/>
          <w:szCs w:val="32"/>
          <w:highlight w:val="none"/>
        </w:rPr>
        <w:t>7</w:t>
      </w:r>
      <w:r>
        <w:rPr>
          <w:rFonts w:hint="eastAsia" w:eastAsia="仿宋_GB2312" w:cs="方正仿宋_GB2312"/>
          <w:color w:val="auto"/>
          <w:sz w:val="32"/>
          <w:szCs w:val="32"/>
          <w:highlight w:val="none"/>
        </w:rPr>
        <w:t>）</w:t>
      </w:r>
    </w:p>
    <w:p w14:paraId="10E2AF97">
      <w:pPr>
        <w:ind w:firstLine="640" w:firstLineChars="200"/>
        <w:jc w:val="left"/>
        <w:rPr>
          <w:rFonts w:eastAsia="仿宋_GB2312" w:cs="方正仿宋_GB2312"/>
          <w:color w:val="auto"/>
          <w:sz w:val="32"/>
          <w:szCs w:val="32"/>
          <w:highlight w:val="none"/>
        </w:rPr>
      </w:pPr>
      <w:r>
        <w:rPr>
          <w:rFonts w:hint="eastAsia" w:eastAsia="仿宋_GB2312" w:cs="方正仿宋_GB2312"/>
          <w:color w:val="auto"/>
          <w:sz w:val="32"/>
          <w:szCs w:val="32"/>
          <w:highlight w:val="none"/>
        </w:rPr>
        <w:t>（八）以中小学、幼儿园进出通道口为参照点的，参照上述方式进行测量。</w:t>
      </w:r>
    </w:p>
    <w:p w14:paraId="41802538">
      <w:pPr>
        <w:ind w:firstLine="640" w:firstLineChars="200"/>
        <w:jc w:val="left"/>
        <w:rPr>
          <w:rFonts w:ascii="仿宋_GB2312" w:eastAsia="仿宋_GB2312" w:cs="方正仿宋_GB2312"/>
          <w:color w:val="auto"/>
          <w:sz w:val="32"/>
          <w:szCs w:val="32"/>
          <w:highlight w:val="none"/>
        </w:rPr>
      </w:pPr>
      <w:r>
        <w:rPr>
          <w:rFonts w:hint="eastAsia" w:ascii="仿宋_GB2312" w:eastAsia="仿宋_GB2312" w:cs="方正仿宋_GB2312"/>
          <w:color w:val="auto"/>
          <w:sz w:val="32"/>
          <w:szCs w:val="32"/>
          <w:highlight w:val="none"/>
        </w:rPr>
        <w:t>（九）市场、封闭式小区内、广场等区域零售点距离测量方法均以原设计道路、人行通道行人正常安全行走的最短距离进行测量。</w:t>
      </w:r>
    </w:p>
    <w:p w14:paraId="5035D614">
      <w:pPr>
        <w:ind w:firstLine="640" w:firstLineChars="200"/>
        <w:jc w:val="left"/>
        <w:rPr>
          <w:rFonts w:ascii="仿宋_GB2312" w:eastAsia="仿宋_GB2312" w:cs="方正仿宋_GB2312"/>
          <w:color w:val="auto"/>
          <w:sz w:val="32"/>
          <w:szCs w:val="32"/>
          <w:highlight w:val="none"/>
        </w:rPr>
      </w:pPr>
      <w:r>
        <w:rPr>
          <w:rFonts w:hint="eastAsia" w:ascii="仿宋_GB2312" w:eastAsia="仿宋_GB2312" w:cs="方正仿宋_GB2312"/>
          <w:color w:val="auto"/>
          <w:sz w:val="32"/>
          <w:szCs w:val="32"/>
          <w:highlight w:val="none"/>
        </w:rPr>
        <w:t>（十）特殊地形测量。因地形、地貌或设计等原因导致道路、通道</w:t>
      </w:r>
      <w:bookmarkStart w:id="0" w:name="_GoBack"/>
      <w:r>
        <w:rPr>
          <w:rFonts w:hint="eastAsia" w:ascii="仿宋_GB2312" w:eastAsia="仿宋_GB2312" w:cs="方正仿宋_GB2312"/>
          <w:color w:val="auto"/>
          <w:sz w:val="32"/>
          <w:szCs w:val="32"/>
          <w:highlight w:val="none"/>
          <w:lang w:eastAsia="zh-CN"/>
        </w:rPr>
        <w:t>呈</w:t>
      </w:r>
      <w:bookmarkEnd w:id="0"/>
      <w:r>
        <w:rPr>
          <w:rFonts w:hint="eastAsia" w:ascii="仿宋_GB2312" w:eastAsia="仿宋_GB2312" w:cs="方正仿宋_GB2312"/>
          <w:color w:val="auto"/>
          <w:sz w:val="32"/>
          <w:szCs w:val="32"/>
          <w:highlight w:val="none"/>
        </w:rPr>
        <w:t>不规则形态，通过前述方法无法测量的，取可安全通行路径最近距离进行测量。</w:t>
      </w:r>
    </w:p>
    <w:p w14:paraId="15A6C463">
      <w:pPr>
        <w:ind w:firstLine="640" w:firstLineChars="200"/>
        <w:jc w:val="left"/>
        <w:rPr>
          <w:rFonts w:eastAsia="仿宋_GB2312" w:cs="方正仿宋_GB2312"/>
          <w:color w:val="auto"/>
          <w:sz w:val="32"/>
          <w:szCs w:val="32"/>
          <w:highlight w:val="none"/>
        </w:rPr>
      </w:pPr>
      <w:r>
        <w:rPr>
          <w:rFonts w:hint="eastAsia" w:ascii="黑体" w:hAnsi="黑体" w:eastAsia="黑体" w:cs="方正仿宋_GB2312"/>
          <w:bCs/>
          <w:color w:val="auto"/>
          <w:sz w:val="32"/>
          <w:szCs w:val="32"/>
          <w:highlight w:val="none"/>
        </w:rPr>
        <w:t>第八条</w:t>
      </w:r>
      <w:r>
        <w:rPr>
          <w:rFonts w:hint="eastAsia" w:eastAsia="方正仿宋_GB2312" w:cs="方正仿宋_GB2312"/>
          <w:color w:val="auto"/>
          <w:sz w:val="32"/>
          <w:szCs w:val="32"/>
          <w:highlight w:val="none"/>
        </w:rPr>
        <w:t xml:space="preserve">  </w:t>
      </w:r>
      <w:r>
        <w:rPr>
          <w:rFonts w:hint="eastAsia" w:eastAsia="仿宋_GB2312" w:cs="方正仿宋_GB2312"/>
          <w:color w:val="auto"/>
          <w:sz w:val="32"/>
          <w:szCs w:val="32"/>
          <w:highlight w:val="none"/>
        </w:rPr>
        <w:t>标准</w:t>
      </w:r>
      <w:r>
        <w:rPr>
          <w:rFonts w:eastAsia="仿宋_GB2312" w:cs="方正仿宋_GB2312"/>
          <w:color w:val="auto"/>
          <w:sz w:val="32"/>
          <w:szCs w:val="32"/>
          <w:highlight w:val="none"/>
        </w:rPr>
        <w:t>中未涉及或不明确或审核人员产生歧义的特殊区域</w:t>
      </w:r>
      <w:r>
        <w:rPr>
          <w:rFonts w:hint="eastAsia" w:eastAsia="仿宋_GB2312" w:cs="方正仿宋_GB2312"/>
          <w:color w:val="auto"/>
          <w:sz w:val="32"/>
          <w:szCs w:val="32"/>
          <w:highlight w:val="none"/>
        </w:rPr>
        <w:t>，</w:t>
      </w:r>
      <w:r>
        <w:rPr>
          <w:rFonts w:eastAsia="仿宋_GB2312" w:cs="方正仿宋_GB2312"/>
          <w:color w:val="auto"/>
          <w:sz w:val="32"/>
          <w:szCs w:val="32"/>
          <w:highlight w:val="none"/>
        </w:rPr>
        <w:t>应当选择有利于行政</w:t>
      </w:r>
      <w:r>
        <w:rPr>
          <w:rFonts w:hint="eastAsia" w:eastAsia="仿宋_GB2312" w:cs="方正仿宋_GB2312"/>
          <w:color w:val="auto"/>
          <w:sz w:val="32"/>
          <w:szCs w:val="32"/>
          <w:highlight w:val="none"/>
          <w:lang w:val="en-US" w:eastAsia="zh-CN"/>
        </w:rPr>
        <w:t>相对人</w:t>
      </w:r>
      <w:r>
        <w:rPr>
          <w:rFonts w:eastAsia="仿宋_GB2312" w:cs="方正仿宋_GB2312"/>
          <w:color w:val="auto"/>
          <w:sz w:val="32"/>
          <w:szCs w:val="32"/>
          <w:highlight w:val="none"/>
        </w:rPr>
        <w:t>的测量方案。</w:t>
      </w:r>
    </w:p>
    <w:p w14:paraId="0C3F35B9">
      <w:pPr>
        <w:ind w:firstLine="640" w:firstLineChars="200"/>
        <w:jc w:val="left"/>
        <w:rPr>
          <w:rFonts w:hint="eastAsia" w:eastAsia="仿宋_GB2312"/>
          <w:color w:val="auto"/>
          <w:sz w:val="32"/>
          <w:szCs w:val="32"/>
          <w:highlight w:val="none"/>
        </w:rPr>
      </w:pPr>
      <w:r>
        <w:rPr>
          <w:rFonts w:hint="eastAsia" w:ascii="黑体" w:hAnsi="黑体" w:eastAsia="黑体" w:cs="方正仿宋_GB2312"/>
          <w:bCs/>
          <w:color w:val="auto"/>
          <w:sz w:val="32"/>
          <w:szCs w:val="32"/>
          <w:highlight w:val="none"/>
        </w:rPr>
        <w:t>第九条</w:t>
      </w:r>
      <w:r>
        <w:rPr>
          <w:rFonts w:hint="eastAsia" w:eastAsia="黑体" w:cs="黑体"/>
          <w:color w:val="auto"/>
          <w:sz w:val="32"/>
          <w:szCs w:val="32"/>
          <w:highlight w:val="none"/>
        </w:rPr>
        <w:t xml:space="preserve"> </w:t>
      </w:r>
      <w:r>
        <w:rPr>
          <w:rFonts w:hint="eastAsia" w:eastAsia="仿宋_GB2312" w:cs="方正仿宋_GB2312"/>
          <w:color w:val="auto"/>
          <w:sz w:val="32"/>
          <w:szCs w:val="32"/>
          <w:highlight w:val="none"/>
        </w:rPr>
        <w:t xml:space="preserve"> 测量</w:t>
      </w:r>
      <w:r>
        <w:rPr>
          <w:rFonts w:hint="eastAsia" w:eastAsia="仿宋_GB2312" w:cs="方正仿宋_GB2312"/>
          <w:color w:val="auto"/>
          <w:sz w:val="32"/>
          <w:szCs w:val="32"/>
          <w:highlight w:val="none"/>
          <w:lang w:eastAsia="zh-CN"/>
        </w:rPr>
        <w:t>间隔距离</w:t>
      </w:r>
      <w:r>
        <w:rPr>
          <w:rFonts w:hint="eastAsia" w:eastAsia="仿宋_GB2312" w:cs="方正仿宋_GB2312"/>
          <w:color w:val="auto"/>
          <w:sz w:val="32"/>
          <w:szCs w:val="32"/>
          <w:highlight w:val="none"/>
        </w:rPr>
        <w:t>使用的测量工具应符合国家标准。</w:t>
      </w:r>
    </w:p>
    <mc:AlternateContent>
      <mc:Choice Requires="wpsCustomData">
        <wpsCustomData:docfieldEnd id="0"/>
      </mc:Choice>
    </mc:AlternateContent>
    <w:p w14:paraId="7E5FF450">
      <w:pPr>
        <w:rPr>
          <w:rFonts w:hint="default"/>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汉仪旗黑-50简">
    <w:altName w:val="黑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roman"/>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国标黑体">
    <w:altName w:val="黑体"/>
    <w:panose1 w:val="02000500000000000000"/>
    <w:charset w:val="86"/>
    <w:family w:val="auto"/>
    <w:pitch w:val="default"/>
    <w:sig w:usb0="00000000" w:usb1="00000000" w:usb2="00000000" w:usb3="00000000" w:csb0="00060007" w:csb1="00000000"/>
  </w:font>
  <w:font w:name="仿宋">
    <w:panose1 w:val="02010609060101010101"/>
    <w:charset w:val="86"/>
    <w:family w:val="auto"/>
    <w:pitch w:val="default"/>
    <w:sig w:usb0="800002BF" w:usb1="38CF7CFA" w:usb2="00000016" w:usb3="00000000" w:csb0="00040001"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48A6">
    <w:pPr>
      <w:pStyle w:val="5"/>
      <w:framePr w:wrap="around" w:vAnchor="text" w:hAnchor="margin" w:xAlign="outside" w:y="1"/>
      <w:rPr>
        <w:rStyle w:val="9"/>
        <w:rFonts w:hint="eastAsia" w:ascii="宋体" w:hAnsi="宋体"/>
        <w:sz w:val="28"/>
        <w:szCs w:val="28"/>
        <w:lang w:eastAsia="zh-CN"/>
      </w:rPr>
    </w:pPr>
    <w:r>
      <w:rPr>
        <w:rStyle w:val="9"/>
        <w:rFonts w:hint="eastAsia" w:ascii="宋体" w:hAnsi="宋体" w:eastAsia="宋体"/>
        <w:sz w:val="28"/>
        <w:szCs w:val="28"/>
        <w:lang w:eastAsia="zh-CN"/>
      </w:rPr>
      <w:t>－</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eastAsia="宋体"/>
        <w:sz w:val="28"/>
        <w:szCs w:val="28"/>
      </w:rPr>
      <w:t>5</w:t>
    </w:r>
    <w:r>
      <w:rPr>
        <w:rStyle w:val="9"/>
        <w:rFonts w:ascii="宋体" w:hAnsi="宋体"/>
        <w:sz w:val="28"/>
        <w:szCs w:val="28"/>
      </w:rPr>
      <w:fldChar w:fldCharType="end"/>
    </w:r>
    <w:r>
      <w:rPr>
        <w:rStyle w:val="9"/>
        <w:rFonts w:hint="eastAsia" w:ascii="宋体" w:hAnsi="宋体" w:eastAsia="宋体"/>
        <w:sz w:val="28"/>
        <w:szCs w:val="28"/>
        <w:lang w:eastAsia="zh-CN"/>
      </w:rPr>
      <w:t>－</w:t>
    </w:r>
  </w:p>
  <w:p w14:paraId="07F2A060">
    <w:pPr>
      <w:pStyle w:val="5"/>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366ED"/>
    <w:rsid w:val="06252644"/>
    <w:rsid w:val="09B40479"/>
    <w:rsid w:val="0E5C526A"/>
    <w:rsid w:val="0F207774"/>
    <w:rsid w:val="16FD55BD"/>
    <w:rsid w:val="173B6C49"/>
    <w:rsid w:val="1AF66C7F"/>
    <w:rsid w:val="1D0E7F87"/>
    <w:rsid w:val="208266B4"/>
    <w:rsid w:val="243F5F3B"/>
    <w:rsid w:val="292122F8"/>
    <w:rsid w:val="35BFAEA7"/>
    <w:rsid w:val="36A15DBC"/>
    <w:rsid w:val="38BE7631"/>
    <w:rsid w:val="3ACD0120"/>
    <w:rsid w:val="3BFD7044"/>
    <w:rsid w:val="3FFF1AF1"/>
    <w:rsid w:val="445C2727"/>
    <w:rsid w:val="457E475C"/>
    <w:rsid w:val="4D355C88"/>
    <w:rsid w:val="4FF54A30"/>
    <w:rsid w:val="52B338A4"/>
    <w:rsid w:val="55627D53"/>
    <w:rsid w:val="66623D74"/>
    <w:rsid w:val="691B4188"/>
    <w:rsid w:val="6CD565CF"/>
    <w:rsid w:val="6DCF8B99"/>
    <w:rsid w:val="6F117D96"/>
    <w:rsid w:val="6F8F5112"/>
    <w:rsid w:val="71CD5139"/>
    <w:rsid w:val="74285036"/>
    <w:rsid w:val="74FF384C"/>
    <w:rsid w:val="7B2D0BEE"/>
    <w:rsid w:val="7EEF39A7"/>
    <w:rsid w:val="7EFFDE96"/>
    <w:rsid w:val="7FAF0DEA"/>
    <w:rsid w:val="85EBDDFA"/>
    <w:rsid w:val="9B47B76E"/>
    <w:rsid w:val="F3BDFF02"/>
    <w:rsid w:val="F55E9511"/>
    <w:rsid w:val="FAEE324F"/>
    <w:rsid w:val="FF7F6D4D"/>
    <w:rsid w:val="FFBE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pacing w:val="-6"/>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jc w:val="left"/>
    </w:pPr>
    <w:rPr>
      <w:rFonts w:cs="Times New Roman"/>
      <w:kern w:val="0"/>
      <w:sz w:val="24"/>
    </w:rPr>
  </w:style>
  <w:style w:type="character" w:styleId="9">
    <w:name w:val="page number"/>
    <w:basedOn w:val="8"/>
    <w:qFormat/>
    <w:uiPriority w:val="0"/>
  </w:style>
  <w:style w:type="paragraph" w:customStyle="1" w:styleId="10">
    <w:name w:val="防宋GB"/>
    <w:qFormat/>
    <w:uiPriority w:val="0"/>
    <w:pPr>
      <w:ind w:left="50" w:leftChars="50" w:right="100" w:rightChars="100" w:firstLine="200" w:firstLineChars="200"/>
    </w:pPr>
    <w:rPr>
      <w:rFonts w:ascii="Times New Roman" w:hAnsi="Times New Roman" w:eastAsia="仿宋_GB2312" w:cs="Times New Roman"/>
      <w:kern w:val="2"/>
      <w:sz w:val="32"/>
      <w:szCs w:val="22"/>
      <w:lang w:val="en-US" w:eastAsia="zh-CN" w:bidi="ar-SA"/>
    </w:rPr>
  </w:style>
  <w:style w:type="paragraph" w:customStyle="1" w:styleId="11">
    <w:name w:val="黑体"/>
    <w:qFormat/>
    <w:uiPriority w:val="0"/>
    <w:pPr>
      <w:ind w:firstLine="640" w:firstLineChars="200"/>
    </w:pPr>
    <w:rPr>
      <w:rFonts w:ascii="Calibri Light" w:hAnsi="Calibri Light" w:eastAsia="黑体" w:cs="Times New Roman"/>
      <w:bCs/>
      <w:kern w:val="2"/>
      <w:sz w:val="32"/>
      <w:szCs w:val="32"/>
      <w:lang w:val="en-US" w:eastAsia="zh-CN" w:bidi="ar-SA"/>
    </w:rPr>
  </w:style>
  <w:style w:type="paragraph" w:customStyle="1" w:styleId="12">
    <w:name w:val="黑体字"/>
    <w:basedOn w:val="1"/>
    <w:qFormat/>
    <w:uiPriority w:val="0"/>
    <w:pPr>
      <w:jc w:val="left"/>
    </w:pPr>
    <w:rPr>
      <w:rFonts w:ascii="Calibri" w:hAnsi="Calibri" w:eastAsia="黑体" w:cs="Times New Roman"/>
      <w:sz w:val="32"/>
      <w:szCs w:val="22"/>
    </w:rPr>
  </w:style>
  <w:style w:type="paragraph" w:customStyle="1" w:styleId="13">
    <w:name w:val="Content_Message"/>
    <w:qFormat/>
    <w:uiPriority w:val="0"/>
    <w:pPr>
      <w:spacing w:line="480" w:lineRule="exact"/>
    </w:pPr>
    <w:rPr>
      <w:rFonts w:ascii="汉仪旗黑-50简" w:hAnsi="汉仪旗黑-50简" w:eastAsia="汉仪旗黑-50简" w:cs="汉仪旗黑-50简"/>
      <w:color w:val="3F3F3F"/>
      <w:sz w:val="28"/>
      <w:szCs w:val="28"/>
      <w:lang w:val="en-US" w:eastAsia="zh-CN" w:bidi="ar-SA"/>
    </w:rPr>
  </w:style>
  <w:style w:type="paragraph" w:styleId="14">
    <w:name w:val="List Paragraph"/>
    <w:basedOn w:val="1"/>
    <w:qFormat/>
    <w:uiPriority w:val="34"/>
    <w:pPr>
      <w:ind w:firstLine="420" w:firstLineChars="200"/>
    </w:pPr>
  </w:style>
  <w:style w:type="paragraph" w:customStyle="1" w:styleId="15">
    <w:name w:val="cjk"/>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9b5ca56c-057e-4e2c-96b0-4acc8abd85f9</errorID>
      <errorWord>。</errorWord>
      <group>L1_AI</group>
      <groupName>深度校对</groupName>
      <ability>L2_AI_Punc</ability>
      <abilityName>标点纠错</abilityName>
      <candidateList>
        <item>，</item>
      </candidateList>
      <explain/>
      <paraID>491B6D11</paraID>
      <start>33</start>
      <end>34</end>
      <status>unmodified</status>
      <modifiedWord/>
      <trackRevisions>false</trackRevisions>
    </reviewItem>
    <reviewItem>
      <errorID>b909b371-7a38-4b86-ba7a-842dad48d9ea</errorID>
      <errorWord>: </errorWord>
      <group>L1_AI</group>
      <groupName>深度校对</groupName>
      <ability>L2_AI_Punc</ability>
      <abilityName>标点纠错</abilityName>
      <candidateList>
        <item/>
      </candidateList>
      <explain/>
      <paraID>491B6D11</paraID>
      <start>35</start>
      <end>37</end>
      <status>unmodified</status>
      <modifiedWord/>
      <trackRevisions>false</trackRevisions>
    </reviewItem>
    <reviewItem>
      <errorID>b99869f0-9b4b-4f4c-a1ef-6dce058e5c57</errorID>
      <errorWord>候车厅</errorWord>
      <group>L1_Word</group>
      <groupName>字词问题</groupName>
      <ability>L2_Typo</ability>
      <abilityName>字词错误</abilityName>
      <candidateList>
        <item>候车亭</item>
      </candidateList>
      <explain/>
      <paraID>491B6D11</paraID>
      <start>60</start>
      <end>63</end>
      <status>unmodified</status>
      <modifiedWord/>
      <trackRevisions>false</trackRevisions>
    </reviewItem>
    <reviewItem>
      <errorID>8007a2f5-035a-4fe4-9589-992c899f41aa</errorID>
      <errorWord>应</errorWord>
      <group>L1_Word</group>
      <groupName>字词问题</groupName>
      <ability>L2_Typo</ability>
      <abilityName>字词错误</abilityName>
      <candidateList>
        <item>应当</item>
      </candidateList>
      <explain/>
      <paraID>4034CC79</paraID>
      <start>13</start>
      <end>14</end>
      <status>unmodified</status>
      <modifiedWord/>
      <trackRevisions>false</trackRevisions>
    </reviewItem>
    <reviewItem>
      <errorID>b0fd4831-e5cb-4071-b909-df97c6635b0f</errorID>
      <errorWord>增设置</errorWord>
      <group>L1_AI</group>
      <groupName>深度校对</groupName>
      <ability>L2_AI_Grammar</ability>
      <abilityName>语法纠错</abilityName>
      <candidateList>
        <item>增设</item>
      </candidateList>
      <explain/>
      <paraID> 5B3EB9C</paraID>
      <start>59</start>
      <end>61</end>
      <status>modified</status>
      <modifiedWord>增设</modifiedWord>
      <trackRevisions>false</trackRevisions>
    </reviewItem>
    <reviewItem>
      <errorID>ceacbd7f-efa6-4708-be37-ae3854d5d135</errorID>
      <errorWord>人的</errorWord>
      <group>L1_AI</group>
      <groupName>深度校对</groupName>
      <ability>L2_AI_Grammar</ability>
      <abilityName>语法纠错</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5013FFBE</paraID>
      <start>49</start>
      <end>51</end>
      <status>unmodified</status>
      <modifiedWord/>
      <trackRevisions>false</trackRevisions>
    </reviewItem>
    <reviewItem>
      <errorID>8c0e4464-a603-483b-ae61-2cfc13e97202</errorID>
      <errorWord>增设置</errorWord>
      <group>L1_AI</group>
      <groupName>深度校对</groupName>
      <ability>L2_AI_Grammar</ability>
      <abilityName>语法纠错</abilityName>
      <candidateList>
        <item>增设</item>
      </candidateList>
      <explain/>
      <paraID>5013FFBE</paraID>
      <start>53</start>
      <end>55</end>
      <status>modified</status>
      <modifiedWord>增设</modifiedWord>
      <trackRevisions>false</trackRevisions>
    </reviewItem>
    <reviewItem>
      <errorID>681e2bc4-a8c0-418d-bf5e-af24604f5e91</errorID>
      <errorWord>门店，且对行人开放的</errorWord>
      <group>L1_AI</group>
      <groupName>深度校对</groupName>
      <ability>L2_AI_Word</ability>
      <abilityName>字词纠错</abilityName>
      <candidateList>
        <item>且对行人开放的门店等</item>
      </candidateList>
      <explain/>
      <paraID>23CFAF58</paraID>
      <start>13</start>
      <end>23</end>
      <status>ignored</status>
      <modifiedWord/>
      <trackRevisions>false</trackRevisions>
    </reviewItem>
    <reviewItem>
      <errorID>e2622689-2fb5-416c-a172-f7d734418cd9</errorID>
      <errorWord>不适用于</errorWord>
      <group>L1_AI</group>
      <groupName>深度校对</groupName>
      <ability>L2_AI_Word</ability>
      <abilityName>字词纠错</abilityName>
      <candidateList>
        <item>，不适用</item>
      </candidateList>
      <explain/>
      <paraID>23CFAF58</paraID>
      <start>27</start>
      <end>31</end>
      <status>ignored</status>
      <modifiedWord/>
      <trackRevisions>false</trackRevisions>
    </reviewItem>
    <reviewItem>
      <errorID>77626c08-5074-457e-a2a9-6d552b0c5ade</errorID>
      <errorWord>按照</errorWord>
      <group>L1_AI</group>
      <groupName>深度校对</groupName>
      <ability>L2_AI_Grammar</ability>
      <abilityName>语法纠错</abilityName>
      <candidateList>
        <item>应按照</item>
      </candidateList>
      <explain/>
      <paraID>23CFAF58</paraID>
      <start>36</start>
      <end>38</end>
      <status>ignored</status>
      <modifiedWord/>
      <trackRevisions>false</trackRevisions>
    </reviewItem>
    <reviewItem>
      <errorID>921f494f-a406-425d-9940-03726c9a17d0</errorID>
      <errorWord>法律、法规</errorWord>
      <group>L1_Word</group>
      <groupName>字词问题</groupName>
      <ability>L2_Typo</ability>
      <abilityName>字词错误</abilityName>
      <candidateList>
        <item>法律法规</item>
      </candidateList>
      <explain/>
      <paraID>21A0990D</paraID>
      <start>3</start>
      <end>8</end>
      <status>ignored</status>
      <modifiedWord/>
      <trackRevisions>false</trackRevisions>
    </reviewItem>
    <reviewItem>
      <errorID>bf9a9da9-3fd6-4741-9bcd-08c639769a64</errorID>
      <errorWord>布局</errorWord>
      <group>L1_AI</group>
      <groupName>深度校对</groupName>
      <ability>L2_AI_Grammar</ability>
      <abilityName>语法纠错</abilityName>
      <candidateList>
        <item>适用的布局</item>
      </candidateList>
      <explain/>
      <paraID>5C4D9DCA</paraID>
      <start>15</start>
      <end>17</end>
      <status>ignored</status>
      <modifiedWord/>
      <trackRevisions>false</trackRevisions>
    </reviewItem>
    <reviewItem>
      <errorID>3155fea9-25a9-4e6a-aec3-4f9ca1eaadb3</errorID>
      <errorWord>仅限</errorWord>
      <group>L1_AI</group>
      <groupName>深度校对</groupName>
      <ability>L2_AI_Punc</ability>
      <abilityName>标点纠错</abilityName>
      <candidateList>
        <item>，仅限</item>
      </candidateList>
      <explain/>
      <paraID>5C4D9DCA</paraID>
      <start>19</start>
      <end>21</end>
      <status>ignored</status>
      <modifiedWord/>
      <trackRevisions>false</trackRevisions>
    </reviewItem>
    <reviewItem>
      <errorID>b0681809-772f-4baa-a38c-aaeab682d2cc</errorID>
      <errorWord>，</errorWord>
      <group>L1_AI</group>
      <groupName>深度校对</groupName>
      <ability>L2_AI_Punc</ability>
      <abilityName>标点纠错</abilityName>
      <candidateList>
        <item>。</item>
      </candidateList>
      <explain/>
      <paraID>5C4D9DCA</paraID>
      <start>30</start>
      <end>31</end>
      <status>ignored</status>
      <modifiedWord/>
      <trackRevisions>false</trackRevisions>
    </reviewItem>
    <reviewItem>
      <errorID>0ad55574-647e-4bdd-96a7-57c0559080e0</errorID>
      <errorWord>(配偶、父母、子女)</errorWord>
      <group>L1_AI</group>
      <groupName>深度校对</groupName>
      <ability>L2_AI_Punc</ability>
      <abilityName>标点纠错</abilityName>
      <candidateList>
        <item>（配偶、父母、子女）</item>
      </candidateList>
      <explain/>
      <paraID>5C4D9DCA</paraID>
      <start>54</start>
      <end>64</end>
      <status>ignored</status>
      <modifiedWord/>
      <trackRevisions>false</trackRevisions>
    </reviewItem>
    <reviewItem>
      <errorID>be97a8c2-ff8c-42d8-9908-6b4c00c72c83</errorID>
      <errorWord>包含</errorWord>
      <group>L1_AI</group>
      <groupName>深度校对</groupName>
      <ability>L2_AI_Word</ability>
      <abilityName>字词纠错</abilityName>
      <candidateList>
        <item>包括</item>
      </candidateList>
      <explain/>
      <paraID>5C4D9DCA</paraID>
      <start>72</start>
      <end>74</end>
      <status>ignored</status>
      <modifiedWord/>
      <trackRevisions>false</trackRevisions>
    </reviewItem>
    <reviewItem>
      <errorID>97afda33-1671-48ed-aafe-33f354f33eb9</errorID>
      <errorWord>需具备</errorWord>
      <group>L1_Word</group>
      <groupName>字词问题</groupName>
      <ability>L2_Typo</ability>
      <abilityName>字词错误</abilityName>
      <candidateList>
        <item>须具备</item>
      </candidateList>
      <explain/>
      <paraID>42AE86D4</paraID>
      <start>21</start>
      <end>24</end>
      <status>ignored</status>
      <modifiedWord/>
      <trackRevisions>false</trackRevisions>
    </reviewItem>
    <reviewItem>
      <errorID>2df73e10-c068-401d-afc8-45c869a20539</errorID>
      <errorWord>法律、法规</errorWord>
      <group>L1_Word</group>
      <groupName>字词问题</groupName>
      <ability>L2_Typo</ability>
      <abilityName>字词错误</abilityName>
      <candidateList>
        <item>法律法规</item>
      </candidateList>
      <explain/>
      <paraID>1FFF464A</paraID>
      <start>6</start>
      <end>11</end>
      <status>ignored</status>
      <modifiedWord/>
      <trackRevisions>false</trackRevisions>
    </reviewItem>
    <reviewItem>
      <errorID>2b8ff761-3fb7-4e69-8789-bdafde1c84ee</errorID>
      <errorWord>:</errorWord>
      <group>L1_Format</group>
      <groupName>格式问题</groupName>
      <ability>L2_HalfPunc</ability>
      <abilityName>全半角检查</abilityName>
      <candidateList>
        <item>：</item>
      </candidateList>
      <explain>文本全半角错误。</explain>
      <paraID> 5165ED8</paraID>
      <start>71</start>
      <end>72</end>
      <status>ignored</status>
      <modifiedWord/>
      <trackRevisions>false</trackRevisions>
    </reviewItem>
    <reviewItem>
      <errorID>c3b0bec6-0f58-46d7-af1a-27abd6e38fa0</errorID>
      <errorWord>(</errorWord>
      <group>L1_Format</group>
      <groupName>格式问题</groupName>
      <ability>L2_HalfPunc</ability>
      <abilityName>全半角检查</abilityName>
      <candidateList>
        <item>（</item>
      </candidateList>
      <explain>文本全半角错误。</explain>
      <paraID>1E2F3375</paraID>
      <start>96</start>
      <end>97</end>
      <status>ignored</status>
      <modifiedWord/>
      <trackRevisions>false</trackRevisions>
    </reviewItem>
    <reviewItem>
      <errorID>74218c60-ef96-4c0b-a7a1-84eae97f303d</errorID>
      <errorWord>)</errorWord>
      <group>L1_Format</group>
      <groupName>格式问题</groupName>
      <ability>L2_HalfPunc</ability>
      <abilityName>全半角检查</abilityName>
      <candidateList>
        <item>）</item>
      </candidateList>
      <explain>文本全半角错误。</explain>
      <paraID>1E2F3375</paraID>
      <start>99</start>
      <end>100</end>
      <status>ignored</status>
      <modifiedWord/>
      <trackRevisions>false</trackRevisions>
    </reviewItem>
    <reviewItem>
      <errorID>1a58b0fc-4640-485a-9743-39d149a67956</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1E2F3375</paraID>
      <start>154</start>
      <end>156</end>
      <status>ignored</status>
      <modifiedWord/>
      <trackRevisions>false</trackRevisions>
    </reviewItem>
    <reviewItem>
      <errorID>e03caf8d-8b15-41f6-a148-46de02564d95</errorID>
      <errorWord>与</errorWord>
      <group>L1_AI</group>
      <groupName>深度校对</groupName>
      <ability>L2_AI_Punc</ability>
      <abilityName>标点纠错</abilityName>
      <candidateList>
        <item>，与</item>
      </candidateList>
      <explain/>
      <paraID> 44366CD</paraID>
      <start>52</start>
      <end>53</end>
      <status>ignored</status>
      <modifiedWord/>
      <trackRevisions>false</trackRevisions>
    </reviewItem>
    <reviewItem>
      <errorID>40708290-0455-404f-ae41-c3f30350e2f1</errorID>
      <errorWord>&lt;</errorWord>
      <group>L1_AI</group>
      <groupName>深度校对</groupName>
      <ability>L2_AI_Punc</ability>
      <abilityName>标点纠错</abilityName>
      <candidateList>
        <item>〈</item>
      </candidateList>
      <explain/>
      <paraID>416FEFB1</paraID>
      <start>56</start>
      <end>57</end>
      <status>unmodified</status>
      <modifiedWord/>
      <trackRevisions>false</trackRevisions>
    </reviewItem>
    <reviewItem>
      <errorID>63d05e95-038d-4aa6-9689-09c793da2d8b</errorID>
      <errorWord>&gt;、</errorWord>
      <group>L1_Punc</group>
      <groupName>标点问题</groupName>
      <ability>L2_Punc</ability>
      <abilityName>标点符号检查</abilityName>
      <candidateList>
        <item>&gt;</item>
      </candidateList>
      <explain/>
      <paraID>416FEFB1</paraID>
      <start>59</start>
      <end>61</end>
      <status>unmodified</status>
      <modifiedWord/>
      <trackRevisions>false</trackRevisions>
    </reviewItem>
    <reviewItem>
      <errorID>d048e062-f873-42c3-a9e8-dda39f534bf2</errorID>
      <errorWord>、</errorWord>
      <group>L1_AI</group>
      <groupName>深度校对</groupName>
      <ability>L2_AI_Punc</ability>
      <abilityName>标点纠错</abilityName>
      <candidateList>
        <item>，</item>
      </candidateList>
      <explain/>
      <paraID>6CC09112</paraID>
      <start>8</start>
      <end>9</end>
      <status>unmodified</status>
      <modifiedWord/>
      <trackRevisions>false</trackRevisions>
    </reviewItem>
    <reviewItem>
      <errorID>e5a1f06a-5588-4492-8e25-d29dd13ffb94</errorID>
      <errorWord>的且经营主体未发生改变</errorWord>
      <group>L1_AI</group>
      <groupName>深度校对</groupName>
      <ability>L2_AI_Word</ability>
      <abilityName>字词纠错</abilityName>
      <candidateList>
        <item>且经营主体未发生改变的</item>
      </candidateList>
      <explain/>
      <paraID>6CC09112</paraID>
      <start>33</start>
      <end>44</end>
      <status>ignored</status>
      <modifiedWord/>
      <trackRevisions>false</trackRevisions>
    </reviewItem>
    <reviewItem>
      <errorID>50b5ade1-afd2-434c-9f98-02cca0a2cbb4</errorID>
      <errorWord>，</errorWord>
      <group>L1_Word</group>
      <groupName>字词问题</groupName>
      <ability>L2_Typo</ability>
      <abilityName>字词错误</abilityName>
      <candidateList>
        <item>，自</item>
      </candidateList>
      <explain/>
      <paraID>13EA1B39</paraID>
      <start>15</start>
      <end>16</end>
      <status>ignored</status>
      <modifiedWord/>
      <trackRevisions>false</trackRevisions>
    </reviewItem>
    <reviewItem>
      <errorID>af436e20-219f-4852-98ea-9a92c0357a82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13EA1B39</paraID>
      <start>176</start>
      <end>178</end>
      <status>ignored</status>
      <modifiedWord/>
      <trackRevisions>false</trackRevisions>
    </reviewItem>
    <reviewItem>
      <errorID>c1e90374-db7f-43e7-b5a4-efb1638d757d</errorID>
      <errorWord>弱势群体</errorWord>
      <group>L1_AI</group>
      <groupName>深度校对</groupName>
      <ability>L2_AI_Grammar</ability>
      <abilityName>语法纠错</abilityName>
      <candidateList>
        <item>通过弱势群体</item>
      </candidateList>
      <explain/>
      <paraID>13EA1B39</paraID>
      <start>227</start>
      <end>231</end>
      <status>ignored</status>
      <modifiedWord/>
      <trackRevisions>false</trackRevisions>
    </reviewItem>
    <reviewItem>
      <errorID>eb1b2ad5-4466-4417-9c0a-8bded1a92fa6</errorID>
      <errorWord>优抚</errorWord>
      <group>L1_AI</group>
      <groupName>深度校对</groupName>
      <ability>L2_AI_Grammar</ability>
      <abilityName>语法纠错</abilityName>
      <candidateList>
        <item>优抚对象相关</item>
      </candidateList>
      <explain/>
      <paraID>13EA1B39</paraID>
      <start>232</start>
      <end>234</end>
      <status>ignored</status>
      <modifiedWord/>
      <trackRevisions>false</trackRevisions>
    </reviewItem>
    <reviewItem>
      <errorID>4d3af4b1-951f-40e0-ba55-7fa2c110336e</errorID>
      <errorWord>不</errorWord>
      <group>L1_AI</group>
      <groupName>深度校对</groupName>
      <ability>L2_AI_Punc</ability>
      <abilityName>标点纠错</abilityName>
      <candidateList>
        <item>，不</item>
      </candidateList>
      <explain/>
      <paraID>13EA1B39</paraID>
      <start>248</start>
      <end>249</end>
      <status>ignored</status>
      <modifiedWord/>
      <trackRevisions>false</trackRevisions>
    </reviewItem>
    <reviewItem>
      <errorID>aef83e9e-3061-422e-ad52-7a3156c063d4</errorID>
      <errorWord>法律、法规</errorWord>
      <group>L1_Word</group>
      <groupName>字词问题</groupName>
      <ability>L2_Typo</ability>
      <abilityName>字词错误</abilityName>
      <candidateList>
        <item>法律法规</item>
      </candidateList>
      <explain/>
      <paraID>601DC0CE</paraID>
      <start>7</start>
      <end>12</end>
      <status>ignored</status>
      <modifiedWord/>
      <trackRevisions>false</trackRevisions>
    </reviewItem>
    <reviewItem>
      <errorID>038731c7-70c2-4443-9b66-0a3956a889ef</errorID>
      <errorWord>烟草专卖品</errorWord>
      <group>L1_Word</group>
      <groupName>字词问题</groupName>
      <ability>L2_Typo</ability>
      <abilityName>字词错误</abilityName>
      <candidateList>
        <item>烟草专卖</item>
      </candidateList>
      <explain/>
      <paraID>3025395A</paraID>
      <start>17</start>
      <end>22</end>
      <status>ignored</status>
      <modifiedWord/>
      <trackRevisions>false</trackRevisions>
    </reviewItem>
    <reviewItem>
      <errorID>33e8fcca-a2a8-4889-a6b6-5f010170b6d8</errorID>
      <errorWord>法律、法规</errorWord>
      <group>L1_Word</group>
      <groupName>字词问题</groupName>
      <ability>L2_Typo</ability>
      <abilityName>字词错误</abilityName>
      <candidateList>
        <item>法律法规</item>
      </candidateList>
      <explain/>
      <paraID>11E5E4D1</paraID>
      <start>3</start>
      <end>8</end>
      <status>ignored</status>
      <modifiedWord/>
      <trackRevisions>false</trackRevisions>
    </reviewItem>
    <reviewItem>
      <errorID>84635f13-6975-435d-b53c-7e740302b9cc</errorID>
      <errorWord>法律、法规</errorWord>
      <group>L1_Word</group>
      <groupName>字词问题</groupName>
      <ability>L2_Typo</ability>
      <abilityName>字词错误</abilityName>
      <candidateList>
        <item>法律法规</item>
      </candidateList>
      <explain/>
      <paraID>530E6028</paraID>
      <start>3</start>
      <end>8</end>
      <status>ignored</status>
      <modifiedWord/>
      <trackRevisions>false</trackRevisions>
    </reviewItem>
    <reviewItem>
      <errorID>c519a0e6-17a7-4a33-87e9-9cad70cf218c</errorID>
      <errorWord>者</errorWord>
      <group>L1_Word</group>
      <groupName>字词问题</groupName>
      <ability>L2_Typo</ability>
      <abilityName>字词错误</abilityName>
      <candidateList>
        <item>者完</item>
      </candidateList>
      <explain/>
      <paraID>6522B4CD</paraID>
      <start>96</start>
      <end>97</end>
      <status>ignored</status>
      <modifiedWord/>
      <trackRevisions>false</trackRevisions>
    </reviewItem>
    <reviewItem>
      <errorID>2d8e8ac8-0c76-44c7-87fe-baafa1d9fb20</errorID>
      <errorWord>准</errorWord>
      <group>L1_Word</group>
      <groupName>字词问题</groupName>
      <ability>L2_Typo</ability>
      <abilityName>字词错误</abilityName>
      <candidateList>
        <item>准并</item>
      </candidateList>
      <explain/>
      <paraID>16C6945B</paraID>
      <start>77</start>
      <end>78</end>
      <status>ignored</status>
      <modifiedWord/>
      <trackRevisions>false</trackRevisions>
    </reviewItem>
    <reviewItem>
      <errorID>0e244b23-00a8-4523-af18-8fddc1fc9c16</errorID>
      <errorWord>法律、法规</errorWord>
      <group>L1_Word</group>
      <groupName>字词问题</groupName>
      <ability>L2_Typo</ability>
      <abilityName>字词错误</abilityName>
      <candidateList>
        <item>法律法规</item>
      </candidateList>
      <explain/>
      <paraID>703137A6</paraID>
      <start>59</start>
      <end>64</end>
      <status>ignored</status>
      <modifiedWord/>
      <trackRevisions>false</trackRevisions>
    </reviewItem>
    <reviewItem>
      <errorID>da27d2bb-edbf-4e2b-92ab-07f57926eaba</errorID>
      <errorWord>(</errorWord>
      <group>L1_Format</group>
      <groupName>格式问题</groupName>
      <ability>L2_HalfPunc</ability>
      <abilityName>全半角检查</abilityName>
      <candidateList>
        <item>（</item>
      </candidateList>
      <explain>文本全半角错误。</explain>
      <paraID>54CA5942</paraID>
      <start>38</start>
      <end>39</end>
      <status>ignored</status>
      <modifiedWord/>
      <trackRevisions>false</trackRevisions>
    </reviewItem>
    <reviewItem>
      <errorID>16abb93d-3546-46c8-8fdf-af4d072a20de</errorID>
      <errorWord>)</errorWord>
      <group>L1_Format</group>
      <groupName>格式问题</groupName>
      <ability>L2_HalfPunc</ability>
      <abilityName>全半角检查</abilityName>
      <candidateList>
        <item>）</item>
      </candidateList>
      <explain>文本全半角错误。</explain>
      <paraID>54CA5942</paraID>
      <start>52</start>
      <end>53</end>
      <status>unmodified</status>
      <modifiedWord/>
      <trackRevisions>false</trackRevisions>
    </reviewItem>
    <reviewItem>
      <errorID>f7a892e1-1804-4217-8a93-b097a976c2b9</errorID>
      <errorWord>,</errorWord>
      <group>L1_Format</group>
      <groupName>格式问题</groupName>
      <ability>L2_HalfPunc</ability>
      <abilityName>全半角检查</abilityName>
      <candidateList>
        <item>，</item>
      </candidateList>
      <explain>文本全半角错误。</explain>
      <paraID>745A510F</paraID>
      <start>40</start>
      <end>41</end>
      <status>unmodified</status>
      <modifiedWord/>
      <trackRevisions>false</trackRevisions>
    </reviewItem>
    <reviewItem>
      <errorID>0f74cebc-8ca2-40b1-aa41-5536e70ee569</errorID>
      <errorWord>(</errorWord>
      <group>L1_Format</group>
      <groupName>格式问题</groupName>
      <ability>L2_HalfPunc</ability>
      <abilityName>全半角检查</abilityName>
      <candidateList>
        <item>（</item>
      </candidateList>
      <explain>文本全半角错误。</explain>
      <paraID>35BEB779</paraID>
      <start>28</start>
      <end>29</end>
      <status>unmodified</status>
      <modifiedWord/>
      <trackRevisions>false</trackRevisions>
    </reviewItem>
    <reviewItem>
      <errorID>88d883fe-a075-496c-92ce-a455455f11e9</errorID>
      <errorWord>)</errorWord>
      <group>L1_Format</group>
      <groupName>格式问题</groupName>
      <ability>L2_HalfPunc</ability>
      <abilityName>全半角检查</abilityName>
      <candidateList>
        <item>）</item>
      </candidateList>
      <explain>文本全半角错误。</explain>
      <paraID>35BEB779</paraID>
      <start>30</start>
      <end>31</end>
      <status>unmodified</status>
      <modifiedWord/>
      <trackRevisions>false</trackRevisions>
    </reviewItem>
    <reviewItem>
      <errorID>8dd7c286-8dff-4a33-90da-7b0fb692f941</errorID>
      <errorWord>:</errorWord>
      <group>L1_Format</group>
      <groupName>格式问题</groupName>
      <ability>L2_HalfPunc</ability>
      <abilityName>全半角检查</abilityName>
      <candidateList>
        <item>：</item>
      </candidateList>
      <explain>文本全半角错误。</explain>
      <paraID>7D283932</paraID>
      <start>13</start>
      <end>14</end>
      <status>unmodified</status>
      <modifiedWord/>
      <trackRevisions>false</trackRevisions>
    </reviewItem>
    <reviewItem>
      <errorID>f4935ac2-91eb-4768-b548-05a6a4792b1a</errorID>
      <errorWord>(</errorWord>
      <group>L1_Format</group>
      <groupName>格式问题</groupName>
      <ability>L2_HalfPunc</ability>
      <abilityName>全半角检查</abilityName>
      <candidateList>
        <item>（</item>
      </candidateList>
      <explain>文本全半角错误。</explain>
      <paraID>  521673</paraID>
      <start>29</start>
      <end>30</end>
      <status>unmodified</status>
      <modifiedWord/>
      <trackRevisions>false</trackRevisions>
    </reviewItem>
    <reviewItem>
      <errorID>21d6a610-5deb-4650-a0db-1bdadf719a3a</errorID>
      <errorWord>)</errorWord>
      <group>L1_Format</group>
      <groupName>格式问题</groupName>
      <ability>L2_HalfPunc</ability>
      <abilityName>全半角检查</abilityName>
      <candidateList>
        <item>）</item>
      </candidateList>
      <explain>文本全半角错误。</explain>
      <paraID>  521673</paraID>
      <start>35</start>
      <end>36</end>
      <status>unmodified</status>
      <modifiedWord/>
      <trackRevisions>false</trackRevisions>
    </reviewItem>
    <reviewItem>
      <errorID>8704ffd1-0509-4a21-aef3-d24ca83162a5</errorID>
      <errorWord>异侧</errorWord>
      <group>L1_Word</group>
      <groupName>字词问题</groupName>
      <ability>L2_Typo</ability>
      <abilityName>字词错误</abilityName>
      <candidateList>
        <item>一侧</item>
      </candidateList>
      <explain>存在发音相同字词的误用。</explain>
      <paraID>6A93D0CC</paraID>
      <start>13</start>
      <end>15</end>
      <status>unmodified</status>
      <modifiedWord/>
      <trackRevisions>false</trackRevisions>
    </reviewItem>
    <reviewItem>
      <errorID>1f48da0e-33fd-4ee1-8698-62f020c21e65</errorID>
      <errorWord>(</errorWord>
      <group>L1_Format</group>
      <groupName>格式问题</groupName>
      <ability>L2_HalfPunc</ability>
      <abilityName>全半角检查</abilityName>
      <candidateList>
        <item>（</item>
      </candidateList>
      <explain>文本全半角错误。</explain>
      <paraID>6A93D0CC</paraID>
      <start>64</start>
      <end>65</end>
      <status>unmodified</status>
      <modifiedWord/>
      <trackRevisions>false</trackRevisions>
    </reviewItem>
    <reviewItem>
      <errorID>b4372f32-a818-4d85-8932-a441988d0a28</errorID>
      <errorWord>)</errorWord>
      <group>L1_Format</group>
      <groupName>格式问题</groupName>
      <ability>L2_HalfPunc</ability>
      <abilityName>全半角检查</abilityName>
      <candidateList>
        <item>）</item>
      </candidateList>
      <explain>文本全半角错误。</explain>
      <paraID>6A93D0CC</paraID>
      <start>70</start>
      <end>71</end>
      <status>unmodified</status>
      <modifiedWord/>
      <trackRevisions>false</trackRevisions>
    </reviewItem>
    <reviewItem>
      <errorID>e2f143df-aaf9-4fd1-acdb-aec285d782ec</errorID>
      <errorWord>异侧</errorWord>
      <group>L1_Word</group>
      <groupName>字词问题</groupName>
      <ability>L2_Typo</ability>
      <abilityName>字词错误</abilityName>
      <candidateList>
        <item>一侧</item>
      </candidateList>
      <explain>存在发音相同字词的误用。</explain>
      <paraID>2EC4FBAC</paraID>
      <start>13</start>
      <end>15</end>
      <status>unmodified</status>
      <modifiedWord/>
      <trackRevisions>false</trackRevisions>
    </reviewItem>
    <reviewItem>
      <errorID>e87c666e-78ac-4df4-8678-8c40d36ac386</errorID>
      <errorWord>,</errorWord>
      <group>L1_Format</group>
      <groupName>格式问题</groupName>
      <ability>L2_HalfPunc</ability>
      <abilityName>全半角检查</abilityName>
      <candidateList>
        <item>，</item>
      </candidateList>
      <explain>文本全半角错误。</explain>
      <paraID>2EC4FBAC</paraID>
      <start>21</start>
      <end>22</end>
      <status>unmodified</status>
      <modifiedWord/>
      <trackRevisions>false</trackRevisions>
    </reviewItem>
    <reviewItem>
      <errorID>d37c51e0-ef35-459a-9765-52f48fc60117</errorID>
      <errorWord>(</errorWord>
      <group>L1_Format</group>
      <groupName>格式问题</groupName>
      <ability>L2_HalfPunc</ability>
      <abilityName>全半角检查</abilityName>
      <candidateList>
        <item>（</item>
      </candidateList>
      <explain>文本全半角错误。</explain>
      <paraID>2EC4FBAC</paraID>
      <start>79</start>
      <end>80</end>
      <status>unmodified</status>
      <modifiedWord/>
      <trackRevisions>false</trackRevisions>
    </reviewItem>
    <reviewItem>
      <errorID>cc8da755-4944-4b4a-a3fd-b32cf9cffab6</errorID>
      <errorWord>)</errorWord>
      <group>L1_Format</group>
      <groupName>格式问题</groupName>
      <ability>L2_HalfPunc</ability>
      <abilityName>全半角检查</abilityName>
      <candidateList>
        <item>）</item>
      </candidateList>
      <explain>文本全半角错误。</explain>
      <paraID>2EC4FBAC</paraID>
      <start>85</start>
      <end>86</end>
      <status>unmodified</status>
      <modifiedWord/>
      <trackRevisions>false</trackRevisions>
    </reviewItem>
    <reviewItem>
      <errorID>066eef91-4b50-4ccf-b915-0a901311aaec</errorID>
      <errorWord>,</errorWord>
      <group>L1_Format</group>
      <groupName>格式问题</groupName>
      <ability>L2_HalfPunc</ability>
      <abilityName>全半角检查</abilityName>
      <candidateList>
        <item>，</item>
      </candidateList>
      <explain>文本全半角错误。</explain>
      <paraID>74C12CCE</paraID>
      <start>20</start>
      <end>21</end>
      <status>unmodified</status>
      <modifiedWord/>
      <trackRevisions>false</trackRevisions>
    </reviewItem>
    <reviewItem>
      <errorID>ed2261cc-2851-40a2-b7e5-4156715e4be3</errorID>
      <errorWord>(</errorWord>
      <group>L1_Format</group>
      <groupName>格式问题</groupName>
      <ability>L2_HalfPunc</ability>
      <abilityName>全半角检查</abilityName>
      <candidateList>
        <item>（</item>
      </candidateList>
      <explain>文本全半角错误。</explain>
      <paraID>74C12CCE</paraID>
      <start>32</start>
      <end>33</end>
      <status>unmodified</status>
      <modifiedWord/>
      <trackRevisions>false</trackRevisions>
    </reviewItem>
    <reviewItem>
      <errorID>9f1ca6e2-d87b-4f09-8b9a-0f70aa13cdb1</errorID>
      <errorWord>)</errorWord>
      <group>L1_Format</group>
      <groupName>格式问题</groupName>
      <ability>L2_HalfPunc</ability>
      <abilityName>全半角检查</abilityName>
      <candidateList>
        <item>）</item>
      </candidateList>
      <explain>文本全半角错误。</explain>
      <paraID>74C12CCE</paraID>
      <start>38</start>
      <end>39</end>
      <status>unmodified</status>
      <modifiedWord/>
      <trackRevisions>false</trackRevisions>
    </reviewItem>
    <reviewItem>
      <errorID>44f88c5b-727a-451e-8405-528f518ff95a</errorID>
      <errorWord>(</errorWord>
      <group>L1_Format</group>
      <groupName>格式问题</groupName>
      <ability>L2_HalfPunc</ability>
      <abilityName>全半角检查</abilityName>
      <candidateList>
        <item>（</item>
      </candidateList>
      <explain>文本全半角错误。</explain>
      <paraID>434C2DA0</paraID>
      <start>14</start>
      <end>15</end>
      <status>unmodified</status>
      <modifiedWord/>
      <trackRevisions>false</trackRevisions>
    </reviewItem>
    <reviewItem>
      <errorID>898d93da-d852-4a62-824a-731b121fc35b</errorID>
      <errorWord>)</errorWord>
      <group>L1_Format</group>
      <groupName>格式问题</groupName>
      <ability>L2_HalfPunc</ability>
      <abilityName>全半角检查</abilityName>
      <candidateList>
        <item>）</item>
      </candidateList>
      <explain>文本全半角错误。</explain>
      <paraID>434C2DA0</paraID>
      <start>17</start>
      <end>18</end>
      <status>unmodified</status>
      <modifiedWord/>
      <trackRevisions>false</trackRevisions>
    </reviewItem>
    <reviewItem>
      <errorID>815d1a04-9580-43d3-a577-cb9a5dbf8d84</errorID>
      <errorWord>,</errorWord>
      <group>L1_Format</group>
      <groupName>格式问题</groupName>
      <ability>L2_HalfPunc</ability>
      <abilityName>全半角检查</abilityName>
      <candidateList>
        <item>，</item>
      </candidateList>
      <explain>文本全半角错误。</explain>
      <paraID>434C2DA0</paraID>
      <start>27</start>
      <end>28</end>
      <status>unmodified</status>
      <modifiedWord/>
      <trackRevisions>false</trackRevisions>
    </reviewItem>
    <reviewItem>
      <errorID>7545e941-5bff-4848-b387-ad44eb66b728</errorID>
      <errorWord>(</errorWord>
      <group>L1_Format</group>
      <groupName>格式问题</groupName>
      <ability>L2_HalfPunc</ability>
      <abilityName>全半角检查</abilityName>
      <candidateList>
        <item>（</item>
      </candidateList>
      <explain>文本全半角错误。</explain>
      <paraID>434C2DA0</paraID>
      <start>72</start>
      <end>73</end>
      <status>unmodified</status>
      <modifiedWord/>
      <trackRevisions>false</trackRevisions>
    </reviewItem>
    <reviewItem>
      <errorID>df8515d3-b8ce-4275-be2f-c8a0d33361a9</errorID>
      <errorWord>)</errorWord>
      <group>L1_Format</group>
      <groupName>格式问题</groupName>
      <ability>L2_HalfPunc</ability>
      <abilityName>全半角检查</abilityName>
      <candidateList>
        <item>）</item>
      </candidateList>
      <explain>文本全半角错误。</explain>
      <paraID>434C2DA0</paraID>
      <start>78</start>
      <end>79</end>
      <status>unmodified</status>
      <modifiedWord/>
      <trackRevisions>false</trackRevisions>
    </reviewItem>
    <reviewItem>
      <errorID>e8297b35-4d0c-41b1-918a-3b1aa73bbdf1</errorID>
      <errorWord>成</errorWord>
      <group>L1_Word</group>
      <groupName>字词问题</groupName>
      <ability>L2_Typo</ability>
      <abilityName>字词错误</abilityName>
      <candidateList>
        <item>呈</item>
      </candidateList>
      <explain>存在发音相同字词的误用。</explain>
      <paraID>5035D614</paraID>
      <start>29</start>
      <end>30</end>
      <status>modified</status>
      <modifiedWord>呈</modifiedWord>
      <trackRevisions>false</trackRevisions>
    </reviewItem>
  </reviewItems>
  <config/>
</contractReview>
</file>

<file path=customXml/itemProps1.xml><?xml version="1.0" encoding="utf-8"?>
<ds:datastoreItem xmlns:ds="http://schemas.openxmlformats.org/officeDocument/2006/customXml" ds:itemID="{b2765c3e-15ab-43aa-a06a-7f18cabb4923}">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6642</Words>
  <Characters>6688</Characters>
  <Lines>0</Lines>
  <Paragraphs>0</Paragraphs>
  <TotalTime>27</TotalTime>
  <ScaleCrop>false</ScaleCrop>
  <LinksUpToDate>false</LinksUpToDate>
  <CharactersWithSpaces>6802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2025-04-13T18:02:00Z</dcterms:created>
  <dc:creator>DELL</dc:creator>
  <cp:lastModifiedBy>柏民啊</cp:lastModifiedBy>
  <cp:lastPrinted>2025-10-18T19:10:00Z</cp:lastPrinted>
  <dcterms:modified xsi:type="dcterms:W3CDTF">2025-12-10T01:31:03Z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eyJoZGlkIjoiMTZiMmE1ZTNmMjY4MmE2YjgyMDU0NGYwMmUwZjcxOTYiLCJ1c2VySWQiOiI3NjY0MjEwNDcifQ==</vt:lpwstr>
  </property>
  <property fmtid="{D5CDD505-2E9C-101B-9397-08002B2CF9AE}" pid="4" name="ICV">
    <vt:lpwstr>0B8B1A24ECD641A5AC30D56A4DD3BE2B_13</vt:lpwstr>
  </property>
</Properties>
</file>