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B77AC1">
      <w:pPr>
        <w:pStyle w:val="3"/>
        <w:spacing w:line="243" w:lineRule="auto"/>
        <w:rPr>
          <w:rFonts w:hint="default" w:ascii="Times New Roman" w:hAnsi="Times New Roman" w:cs="Times New Roman"/>
        </w:rPr>
      </w:pPr>
    </w:p>
    <w:p w14:paraId="5EA79302">
      <w:pPr>
        <w:pStyle w:val="3"/>
        <w:spacing w:line="244" w:lineRule="auto"/>
        <w:rPr>
          <w:rFonts w:hint="default" w:ascii="Times New Roman" w:hAnsi="Times New Roman" w:cs="Times New Roman"/>
        </w:rPr>
      </w:pPr>
    </w:p>
    <w:p w14:paraId="32930EBB">
      <w:pPr>
        <w:pStyle w:val="3"/>
        <w:spacing w:line="244" w:lineRule="auto"/>
        <w:rPr>
          <w:rFonts w:hint="default" w:ascii="Times New Roman" w:hAnsi="Times New Roman" w:cs="Times New Roman"/>
        </w:rPr>
      </w:pPr>
    </w:p>
    <w:p w14:paraId="38298843">
      <w:pPr>
        <w:pStyle w:val="3"/>
        <w:spacing w:line="244" w:lineRule="auto"/>
        <w:rPr>
          <w:rFonts w:hint="default" w:ascii="Times New Roman" w:hAnsi="Times New Roman" w:cs="Times New Roman"/>
        </w:rPr>
      </w:pPr>
    </w:p>
    <w:p w14:paraId="1F4EE012">
      <w:pPr>
        <w:pStyle w:val="3"/>
        <w:spacing w:line="244" w:lineRule="auto"/>
        <w:rPr>
          <w:rFonts w:hint="default" w:ascii="Times New Roman" w:hAnsi="Times New Roman" w:cs="Times New Roman"/>
        </w:rPr>
      </w:pPr>
    </w:p>
    <w:p w14:paraId="1935C5C8">
      <w:pPr>
        <w:keepNext w:val="0"/>
        <w:keepLines w:val="0"/>
        <w:pageBreakBefore w:val="0"/>
        <w:widowControl/>
        <w:kinsoku w:val="0"/>
        <w:wordWrap/>
        <w:overflowPunct/>
        <w:topLinePunct w:val="0"/>
        <w:autoSpaceDE w:val="0"/>
        <w:autoSpaceDN w:val="0"/>
        <w:bidi w:val="0"/>
        <w:adjustRightInd w:val="0"/>
        <w:snapToGrid w:val="0"/>
        <w:spacing w:before="184" w:line="240" w:lineRule="auto"/>
        <w:ind w:left="771"/>
        <w:textAlignment w:val="baseline"/>
        <w:rPr>
          <w:rFonts w:hint="default" w:ascii="Times New Roman" w:hAnsi="Times New Roman" w:eastAsia="黑体" w:cs="Times New Roman"/>
          <w:sz w:val="43"/>
          <w:szCs w:val="43"/>
        </w:rPr>
      </w:pPr>
      <w:r>
        <w:rPr>
          <w:rFonts w:hint="default" w:ascii="Times New Roman" w:hAnsi="Times New Roman" w:eastAsia="黑体" w:cs="Times New Roman"/>
          <w:spacing w:val="11"/>
          <w:sz w:val="43"/>
          <w:szCs w:val="43"/>
          <w:lang w:val="en-US" w:eastAsia="zh-CN"/>
        </w:rPr>
        <w:t>双鸭山</w:t>
      </w:r>
      <w:r>
        <w:rPr>
          <w:rFonts w:hint="default" w:ascii="Times New Roman" w:hAnsi="Times New Roman" w:eastAsia="黑体" w:cs="Times New Roman"/>
          <w:spacing w:val="11"/>
          <w:sz w:val="43"/>
          <w:szCs w:val="43"/>
        </w:rPr>
        <w:t>市</w:t>
      </w:r>
      <w:r>
        <w:rPr>
          <w:rFonts w:hint="default" w:ascii="Times New Roman" w:hAnsi="Times New Roman" w:eastAsia="黑体" w:cs="Times New Roman"/>
          <w:spacing w:val="11"/>
          <w:sz w:val="43"/>
          <w:szCs w:val="43"/>
          <w:lang w:val="en-US" w:eastAsia="zh-CN"/>
        </w:rPr>
        <w:t>集贤</w:t>
      </w:r>
      <w:r>
        <w:rPr>
          <w:rFonts w:hint="default" w:ascii="Times New Roman" w:hAnsi="Times New Roman" w:eastAsia="黑体" w:cs="Times New Roman"/>
          <w:spacing w:val="11"/>
          <w:sz w:val="43"/>
          <w:szCs w:val="43"/>
        </w:rPr>
        <w:t>县国土空间总体规划</w:t>
      </w:r>
    </w:p>
    <w:p w14:paraId="4DACDA05">
      <w:pPr>
        <w:keepNext w:val="0"/>
        <w:keepLines w:val="0"/>
        <w:pageBreakBefore w:val="0"/>
        <w:widowControl/>
        <w:kinsoku w:val="0"/>
        <w:wordWrap/>
        <w:overflowPunct/>
        <w:topLinePunct w:val="0"/>
        <w:autoSpaceDE w:val="0"/>
        <w:autoSpaceDN w:val="0"/>
        <w:bidi w:val="0"/>
        <w:adjustRightInd w:val="0"/>
        <w:snapToGrid w:val="0"/>
        <w:spacing w:before="86" w:line="240" w:lineRule="auto"/>
        <w:ind w:left="2898"/>
        <w:textAlignment w:val="baseline"/>
        <w:rPr>
          <w:rFonts w:hint="default" w:ascii="Times New Roman" w:hAnsi="Times New Roman" w:eastAsia="黑体" w:cs="Times New Roman"/>
          <w:sz w:val="43"/>
          <w:szCs w:val="43"/>
        </w:rPr>
      </w:pPr>
      <w:r>
        <w:rPr>
          <w:rFonts w:hint="default" w:ascii="Times New Roman" w:hAnsi="Times New Roman" w:eastAsia="黑体" w:cs="Times New Roman"/>
          <w:spacing w:val="11"/>
          <w:sz w:val="43"/>
          <w:szCs w:val="43"/>
        </w:rPr>
        <w:t>动态维护方案</w:t>
      </w:r>
    </w:p>
    <w:p w14:paraId="474680E0">
      <w:pPr>
        <w:keepNext w:val="0"/>
        <w:keepLines w:val="0"/>
        <w:pageBreakBefore w:val="0"/>
        <w:widowControl/>
        <w:kinsoku w:val="0"/>
        <w:wordWrap/>
        <w:overflowPunct/>
        <w:topLinePunct w:val="0"/>
        <w:autoSpaceDE w:val="0"/>
        <w:autoSpaceDN w:val="0"/>
        <w:bidi w:val="0"/>
        <w:adjustRightInd w:val="0"/>
        <w:snapToGrid w:val="0"/>
        <w:spacing w:before="101" w:line="240" w:lineRule="auto"/>
        <w:ind w:left="3548"/>
        <w:textAlignment w:val="baseline"/>
        <w:rPr>
          <w:rFonts w:hint="default" w:ascii="Times New Roman" w:hAnsi="Times New Roman" w:eastAsia="黑体" w:cs="Times New Roman"/>
          <w:sz w:val="43"/>
          <w:szCs w:val="43"/>
        </w:rPr>
      </w:pPr>
      <w:r>
        <w:rPr>
          <w:rFonts w:hint="default" w:ascii="Times New Roman" w:hAnsi="Times New Roman" w:eastAsia="黑体" w:cs="Times New Roman"/>
          <w:spacing w:val="7"/>
          <w:sz w:val="43"/>
          <w:szCs w:val="43"/>
        </w:rPr>
        <w:t>公示稿</w:t>
      </w:r>
    </w:p>
    <w:p w14:paraId="79341003">
      <w:pPr>
        <w:pStyle w:val="3"/>
        <w:spacing w:line="243" w:lineRule="auto"/>
        <w:rPr>
          <w:rFonts w:hint="default" w:ascii="Times New Roman" w:hAnsi="Times New Roman" w:cs="Times New Roman"/>
        </w:rPr>
      </w:pPr>
    </w:p>
    <w:p w14:paraId="42706F42">
      <w:pPr>
        <w:pStyle w:val="3"/>
        <w:spacing w:line="243" w:lineRule="auto"/>
        <w:rPr>
          <w:rFonts w:hint="default" w:ascii="Times New Roman" w:hAnsi="Times New Roman" w:cs="Times New Roman"/>
        </w:rPr>
      </w:pPr>
    </w:p>
    <w:p w14:paraId="2A13FF29">
      <w:pPr>
        <w:pStyle w:val="3"/>
        <w:spacing w:line="243" w:lineRule="auto"/>
        <w:rPr>
          <w:rFonts w:hint="default" w:ascii="Times New Roman" w:hAnsi="Times New Roman" w:cs="Times New Roman"/>
        </w:rPr>
      </w:pPr>
    </w:p>
    <w:p w14:paraId="1B84C575">
      <w:pPr>
        <w:pStyle w:val="3"/>
        <w:spacing w:line="243" w:lineRule="auto"/>
        <w:rPr>
          <w:rFonts w:hint="default" w:ascii="Times New Roman" w:hAnsi="Times New Roman" w:cs="Times New Roman"/>
        </w:rPr>
      </w:pPr>
    </w:p>
    <w:p w14:paraId="25F95EF5">
      <w:pPr>
        <w:pStyle w:val="3"/>
        <w:spacing w:line="243" w:lineRule="auto"/>
        <w:rPr>
          <w:rFonts w:hint="default" w:ascii="Times New Roman" w:hAnsi="Times New Roman" w:cs="Times New Roman"/>
        </w:rPr>
      </w:pPr>
    </w:p>
    <w:p w14:paraId="057A9894">
      <w:pPr>
        <w:pStyle w:val="3"/>
        <w:spacing w:line="243" w:lineRule="auto"/>
        <w:rPr>
          <w:rFonts w:hint="default" w:ascii="Times New Roman" w:hAnsi="Times New Roman" w:cs="Times New Roman"/>
        </w:rPr>
      </w:pPr>
    </w:p>
    <w:p w14:paraId="0BEDD269">
      <w:pPr>
        <w:pStyle w:val="3"/>
        <w:spacing w:line="243" w:lineRule="auto"/>
        <w:rPr>
          <w:rFonts w:hint="default" w:ascii="Times New Roman" w:hAnsi="Times New Roman" w:cs="Times New Roman"/>
        </w:rPr>
      </w:pPr>
    </w:p>
    <w:p w14:paraId="0A3F7396">
      <w:pPr>
        <w:pStyle w:val="3"/>
        <w:spacing w:line="243" w:lineRule="auto"/>
        <w:rPr>
          <w:rFonts w:hint="default" w:ascii="Times New Roman" w:hAnsi="Times New Roman" w:cs="Times New Roman"/>
        </w:rPr>
      </w:pPr>
    </w:p>
    <w:p w14:paraId="6CB5F702">
      <w:pPr>
        <w:pStyle w:val="3"/>
        <w:spacing w:line="243" w:lineRule="auto"/>
        <w:rPr>
          <w:rFonts w:hint="default" w:ascii="Times New Roman" w:hAnsi="Times New Roman" w:cs="Times New Roman"/>
        </w:rPr>
      </w:pPr>
    </w:p>
    <w:p w14:paraId="7BE500CE">
      <w:pPr>
        <w:pStyle w:val="3"/>
        <w:spacing w:line="244" w:lineRule="auto"/>
        <w:rPr>
          <w:rFonts w:hint="default" w:ascii="Times New Roman" w:hAnsi="Times New Roman" w:cs="Times New Roman"/>
        </w:rPr>
      </w:pPr>
    </w:p>
    <w:p w14:paraId="29D68843">
      <w:pPr>
        <w:pStyle w:val="3"/>
        <w:spacing w:line="244" w:lineRule="auto"/>
        <w:rPr>
          <w:rFonts w:hint="default" w:ascii="Times New Roman" w:hAnsi="Times New Roman" w:cs="Times New Roman"/>
        </w:rPr>
      </w:pPr>
    </w:p>
    <w:p w14:paraId="035C27F3">
      <w:pPr>
        <w:pStyle w:val="3"/>
        <w:spacing w:line="244" w:lineRule="auto"/>
        <w:rPr>
          <w:rFonts w:hint="default" w:ascii="Times New Roman" w:hAnsi="Times New Roman" w:cs="Times New Roman"/>
        </w:rPr>
      </w:pPr>
    </w:p>
    <w:p w14:paraId="44025169">
      <w:pPr>
        <w:pStyle w:val="3"/>
        <w:spacing w:line="244" w:lineRule="auto"/>
        <w:rPr>
          <w:rFonts w:hint="default" w:ascii="Times New Roman" w:hAnsi="Times New Roman" w:cs="Times New Roman"/>
        </w:rPr>
      </w:pPr>
    </w:p>
    <w:p w14:paraId="48EC93A4">
      <w:pPr>
        <w:pStyle w:val="3"/>
        <w:spacing w:line="244" w:lineRule="auto"/>
        <w:rPr>
          <w:rFonts w:hint="default" w:ascii="Times New Roman" w:hAnsi="Times New Roman" w:cs="Times New Roman"/>
        </w:rPr>
      </w:pPr>
    </w:p>
    <w:p w14:paraId="10B5A507">
      <w:pPr>
        <w:pStyle w:val="3"/>
        <w:spacing w:line="244" w:lineRule="auto"/>
        <w:rPr>
          <w:rFonts w:hint="default" w:ascii="Times New Roman" w:hAnsi="Times New Roman" w:cs="Times New Roman"/>
        </w:rPr>
      </w:pPr>
    </w:p>
    <w:p w14:paraId="6A5C43DF">
      <w:pPr>
        <w:pStyle w:val="3"/>
        <w:spacing w:line="244" w:lineRule="auto"/>
        <w:rPr>
          <w:rFonts w:hint="default" w:ascii="Times New Roman" w:hAnsi="Times New Roman" w:cs="Times New Roman"/>
        </w:rPr>
      </w:pPr>
    </w:p>
    <w:p w14:paraId="1FA86FBE">
      <w:pPr>
        <w:pStyle w:val="3"/>
        <w:spacing w:line="244" w:lineRule="auto"/>
        <w:rPr>
          <w:rFonts w:hint="default" w:ascii="Times New Roman" w:hAnsi="Times New Roman" w:cs="Times New Roman"/>
        </w:rPr>
      </w:pPr>
    </w:p>
    <w:p w14:paraId="2C0D28F0">
      <w:pPr>
        <w:pStyle w:val="3"/>
        <w:spacing w:line="244" w:lineRule="auto"/>
        <w:rPr>
          <w:rFonts w:hint="default" w:ascii="Times New Roman" w:hAnsi="Times New Roman" w:cs="Times New Roman"/>
        </w:rPr>
      </w:pPr>
    </w:p>
    <w:p w14:paraId="623853DF">
      <w:pPr>
        <w:pStyle w:val="3"/>
        <w:spacing w:line="244" w:lineRule="auto"/>
        <w:rPr>
          <w:rFonts w:hint="default" w:ascii="Times New Roman" w:hAnsi="Times New Roman" w:cs="Times New Roman"/>
        </w:rPr>
      </w:pPr>
    </w:p>
    <w:p w14:paraId="1B37EAF0">
      <w:pPr>
        <w:pStyle w:val="3"/>
        <w:spacing w:line="244" w:lineRule="auto"/>
        <w:rPr>
          <w:rFonts w:hint="default" w:ascii="Times New Roman" w:hAnsi="Times New Roman" w:cs="Times New Roman"/>
        </w:rPr>
      </w:pPr>
    </w:p>
    <w:p w14:paraId="5BE8F7D1">
      <w:pPr>
        <w:pStyle w:val="3"/>
        <w:spacing w:line="244" w:lineRule="auto"/>
        <w:rPr>
          <w:rFonts w:hint="default" w:ascii="Times New Roman" w:hAnsi="Times New Roman" w:cs="Times New Roman"/>
        </w:rPr>
      </w:pPr>
    </w:p>
    <w:p w14:paraId="4CE6A0F9">
      <w:pPr>
        <w:pStyle w:val="3"/>
        <w:spacing w:line="244" w:lineRule="auto"/>
        <w:rPr>
          <w:rFonts w:hint="default" w:ascii="Times New Roman" w:hAnsi="Times New Roman" w:cs="Times New Roman"/>
        </w:rPr>
      </w:pPr>
    </w:p>
    <w:p w14:paraId="2265349F">
      <w:pPr>
        <w:pStyle w:val="3"/>
        <w:spacing w:line="244" w:lineRule="auto"/>
        <w:rPr>
          <w:rFonts w:hint="default" w:ascii="Times New Roman" w:hAnsi="Times New Roman" w:cs="Times New Roman"/>
        </w:rPr>
      </w:pPr>
    </w:p>
    <w:p w14:paraId="0A1B4E0E">
      <w:pPr>
        <w:pStyle w:val="3"/>
        <w:spacing w:line="244" w:lineRule="auto"/>
        <w:rPr>
          <w:rFonts w:hint="default" w:ascii="Times New Roman" w:hAnsi="Times New Roman" w:cs="Times New Roman"/>
        </w:rPr>
      </w:pPr>
    </w:p>
    <w:p w14:paraId="11BA77C0">
      <w:pPr>
        <w:pStyle w:val="3"/>
        <w:spacing w:line="244" w:lineRule="auto"/>
        <w:rPr>
          <w:rFonts w:hint="default" w:ascii="Times New Roman" w:hAnsi="Times New Roman" w:cs="Times New Roman"/>
        </w:rPr>
      </w:pPr>
    </w:p>
    <w:p w14:paraId="621B44C0">
      <w:pPr>
        <w:pStyle w:val="3"/>
        <w:spacing w:line="244" w:lineRule="auto"/>
        <w:rPr>
          <w:rFonts w:hint="default" w:ascii="Times New Roman" w:hAnsi="Times New Roman" w:cs="Times New Roman"/>
        </w:rPr>
      </w:pPr>
    </w:p>
    <w:p w14:paraId="37FFA097">
      <w:pPr>
        <w:pStyle w:val="3"/>
        <w:spacing w:line="244" w:lineRule="auto"/>
        <w:rPr>
          <w:rFonts w:hint="default" w:ascii="Times New Roman" w:hAnsi="Times New Roman" w:cs="Times New Roman"/>
        </w:rPr>
      </w:pPr>
    </w:p>
    <w:p w14:paraId="306C0629">
      <w:pPr>
        <w:pStyle w:val="3"/>
        <w:spacing w:line="244" w:lineRule="auto"/>
        <w:rPr>
          <w:rFonts w:hint="default" w:ascii="Times New Roman" w:hAnsi="Times New Roman" w:cs="Times New Roman"/>
        </w:rPr>
      </w:pPr>
    </w:p>
    <w:p w14:paraId="3026A9C0">
      <w:pPr>
        <w:pStyle w:val="3"/>
        <w:spacing w:line="244" w:lineRule="auto"/>
        <w:rPr>
          <w:rFonts w:hint="default" w:ascii="Times New Roman" w:hAnsi="Times New Roman" w:cs="Times New Roman"/>
        </w:rPr>
      </w:pPr>
    </w:p>
    <w:p w14:paraId="2A8D30EC">
      <w:pPr>
        <w:pStyle w:val="3"/>
        <w:spacing w:line="244" w:lineRule="auto"/>
        <w:rPr>
          <w:rFonts w:hint="default" w:ascii="Times New Roman" w:hAnsi="Times New Roman" w:cs="Times New Roman"/>
        </w:rPr>
      </w:pPr>
    </w:p>
    <w:p w14:paraId="6D1CE68C">
      <w:pPr>
        <w:pStyle w:val="3"/>
        <w:spacing w:line="244" w:lineRule="auto"/>
        <w:rPr>
          <w:rFonts w:hint="default" w:ascii="Times New Roman" w:hAnsi="Times New Roman" w:cs="Times New Roman"/>
        </w:rPr>
      </w:pPr>
    </w:p>
    <w:p w14:paraId="47FE0581">
      <w:pPr>
        <w:spacing w:before="100" w:line="232" w:lineRule="auto"/>
        <w:ind w:left="3043"/>
        <w:rPr>
          <w:rFonts w:hint="default" w:ascii="Times New Roman" w:hAnsi="Times New Roman" w:eastAsia="楷体" w:cs="Times New Roman"/>
          <w:sz w:val="31"/>
          <w:szCs w:val="31"/>
        </w:rPr>
      </w:pPr>
      <w:r>
        <w:rPr>
          <w:rFonts w:hint="default" w:ascii="Times New Roman" w:hAnsi="Times New Roman" w:eastAsia="楷体" w:cs="Times New Roman"/>
          <w:spacing w:val="11"/>
          <w:sz w:val="31"/>
          <w:szCs w:val="31"/>
          <w:lang w:eastAsia="zh-CN"/>
        </w:rPr>
        <w:t>集贤</w:t>
      </w:r>
      <w:r>
        <w:rPr>
          <w:rFonts w:hint="default" w:ascii="Times New Roman" w:hAnsi="Times New Roman" w:eastAsia="楷体" w:cs="Times New Roman"/>
          <w:spacing w:val="11"/>
          <w:sz w:val="31"/>
          <w:szCs w:val="31"/>
        </w:rPr>
        <w:t>县人民政府</w:t>
      </w:r>
    </w:p>
    <w:p w14:paraId="7A2C1DA2">
      <w:pPr>
        <w:spacing w:before="238" w:line="231" w:lineRule="auto"/>
        <w:ind w:left="3220"/>
        <w:rPr>
          <w:rFonts w:hint="default" w:ascii="Times New Roman" w:hAnsi="Times New Roman" w:eastAsia="楷体" w:cs="Times New Roman"/>
          <w:sz w:val="31"/>
          <w:szCs w:val="31"/>
        </w:rPr>
      </w:pPr>
      <w:r>
        <w:rPr>
          <w:rFonts w:hint="default" w:ascii="Times New Roman" w:hAnsi="Times New Roman" w:eastAsia="楷体" w:cs="Times New Roman"/>
          <w:spacing w:val="1"/>
          <w:sz w:val="31"/>
          <w:szCs w:val="31"/>
        </w:rPr>
        <w:t>2026年</w:t>
      </w:r>
      <w:r>
        <w:rPr>
          <w:rFonts w:hint="default" w:ascii="Times New Roman" w:hAnsi="Times New Roman" w:eastAsia="楷体" w:cs="Times New Roman"/>
          <w:spacing w:val="1"/>
          <w:sz w:val="31"/>
          <w:szCs w:val="31"/>
          <w:lang w:val="en-US" w:eastAsia="zh-CN"/>
        </w:rPr>
        <w:t>4</w:t>
      </w:r>
      <w:r>
        <w:rPr>
          <w:rFonts w:hint="default" w:ascii="Times New Roman" w:hAnsi="Times New Roman" w:eastAsia="楷体" w:cs="Times New Roman"/>
          <w:spacing w:val="1"/>
          <w:sz w:val="31"/>
          <w:szCs w:val="31"/>
        </w:rPr>
        <w:t>月</w:t>
      </w:r>
    </w:p>
    <w:p w14:paraId="499B6E51">
      <w:pPr>
        <w:spacing w:line="231" w:lineRule="auto"/>
        <w:rPr>
          <w:rFonts w:hint="default" w:ascii="Times New Roman" w:hAnsi="Times New Roman" w:eastAsia="楷体" w:cs="Times New Roman"/>
          <w:sz w:val="31"/>
          <w:szCs w:val="31"/>
        </w:rPr>
        <w:sectPr>
          <w:footerReference r:id="rId5" w:type="default"/>
          <w:pgSz w:w="11906" w:h="16839"/>
          <w:pgMar w:top="1431" w:right="1785" w:bottom="0" w:left="1785" w:header="0" w:footer="0" w:gutter="0"/>
          <w:cols w:space="720" w:num="1"/>
        </w:sectPr>
      </w:pPr>
    </w:p>
    <w:p w14:paraId="22669376">
      <w:pPr>
        <w:spacing w:before="78" w:line="188" w:lineRule="auto"/>
        <w:ind w:left="3774"/>
        <w:outlineLvl w:val="0"/>
        <w:rPr>
          <w:rFonts w:hint="default" w:ascii="Times New Roman" w:hAnsi="Times New Roman" w:eastAsia="黑体" w:cs="Times New Roman"/>
          <w:sz w:val="35"/>
          <w:szCs w:val="35"/>
        </w:rPr>
      </w:pPr>
      <w:r>
        <w:rPr>
          <w:rFonts w:hint="default" w:ascii="Times New Roman" w:hAnsi="Times New Roman" w:eastAsia="黑体" w:cs="Times New Roman"/>
          <w:sz w:val="35"/>
          <w:szCs w:val="35"/>
        </w:rPr>
        <w:t>前言</w:t>
      </w:r>
    </w:p>
    <w:p w14:paraId="7B2B90D0">
      <w:pPr>
        <w:pStyle w:val="3"/>
        <w:spacing w:before="213" w:line="357" w:lineRule="auto"/>
        <w:ind w:right="8" w:firstLine="667"/>
        <w:jc w:val="both"/>
        <w:rPr>
          <w:rFonts w:hint="default" w:ascii="Times New Roman" w:hAnsi="Times New Roman" w:eastAsia="仿宋" w:cs="Times New Roman"/>
          <w:sz w:val="31"/>
          <w:szCs w:val="31"/>
        </w:rPr>
      </w:pPr>
      <w:r>
        <w:rPr>
          <w:rFonts w:hint="default" w:ascii="Times New Roman" w:hAnsi="Times New Roman" w:eastAsia="仿宋" w:cs="Times New Roman"/>
          <w:color w:val="222222"/>
          <w:spacing w:val="13"/>
          <w:sz w:val="31"/>
          <w:szCs w:val="31"/>
        </w:rPr>
        <w:t>按照《中共中央关于制定国民经济和社会发展第十五个</w:t>
      </w:r>
      <w:r>
        <w:rPr>
          <w:rFonts w:hint="default" w:ascii="Times New Roman" w:hAnsi="Times New Roman" w:eastAsia="仿宋" w:cs="Times New Roman"/>
          <w:color w:val="222222"/>
          <w:spacing w:val="11"/>
          <w:sz w:val="31"/>
          <w:szCs w:val="31"/>
        </w:rPr>
        <w:t>五年规划的建议》、</w:t>
      </w:r>
      <w:r>
        <w:rPr>
          <w:rFonts w:hint="default" w:ascii="Times New Roman" w:hAnsi="Times New Roman" w:eastAsia="仿宋" w:cs="Times New Roman"/>
          <w:color w:val="222222"/>
          <w:spacing w:val="7"/>
          <w:sz w:val="31"/>
          <w:szCs w:val="31"/>
        </w:rPr>
        <w:t>自然资源部国土</w:t>
      </w:r>
      <w:r>
        <w:rPr>
          <w:rFonts w:hint="default" w:ascii="Times New Roman" w:hAnsi="Times New Roman" w:eastAsia="仿宋" w:cs="Times New Roman"/>
          <w:color w:val="222222"/>
          <w:spacing w:val="12"/>
          <w:sz w:val="31"/>
          <w:szCs w:val="31"/>
        </w:rPr>
        <w:t>空间规划局关于征求《关于对接“十五五”规划开展国土空</w:t>
      </w:r>
      <w:r>
        <w:rPr>
          <w:rFonts w:hint="default" w:ascii="Times New Roman" w:hAnsi="Times New Roman" w:eastAsia="仿宋" w:cs="Times New Roman"/>
          <w:color w:val="222222"/>
          <w:spacing w:val="11"/>
          <w:sz w:val="31"/>
          <w:szCs w:val="31"/>
        </w:rPr>
        <w:t>间总体规划动态调整完善的通知</w:t>
      </w:r>
      <w:r>
        <w:rPr>
          <w:rFonts w:hint="eastAsia" w:ascii="Times New Roman" w:hAnsi="Times New Roman" w:eastAsia="仿宋" w:cs="Times New Roman"/>
          <w:color w:val="222222"/>
          <w:spacing w:val="11"/>
          <w:sz w:val="31"/>
          <w:szCs w:val="31"/>
          <w:lang w:eastAsia="zh-CN"/>
        </w:rPr>
        <w:t>（</w:t>
      </w:r>
      <w:r>
        <w:rPr>
          <w:rFonts w:hint="default" w:ascii="Times New Roman" w:hAnsi="Times New Roman" w:eastAsia="仿宋" w:cs="Times New Roman"/>
          <w:color w:val="222222"/>
          <w:spacing w:val="11"/>
          <w:sz w:val="31"/>
          <w:szCs w:val="31"/>
        </w:rPr>
        <w:t>征求意见稿</w:t>
      </w:r>
      <w:r>
        <w:rPr>
          <w:rFonts w:hint="eastAsia" w:ascii="Times New Roman" w:hAnsi="Times New Roman" w:eastAsia="仿宋" w:cs="Times New Roman"/>
          <w:color w:val="222222"/>
          <w:spacing w:val="11"/>
          <w:sz w:val="31"/>
          <w:szCs w:val="31"/>
          <w:lang w:eastAsia="zh-CN"/>
        </w:rPr>
        <w:t>）</w:t>
      </w:r>
      <w:r>
        <w:rPr>
          <w:rFonts w:hint="default" w:ascii="Times New Roman" w:hAnsi="Times New Roman" w:eastAsia="仿宋" w:cs="Times New Roman"/>
          <w:color w:val="222222"/>
          <w:spacing w:val="11"/>
          <w:sz w:val="31"/>
          <w:szCs w:val="31"/>
        </w:rPr>
        <w:t>意见的函》、</w:t>
      </w:r>
      <w:bookmarkStart w:id="0" w:name="_GoBack"/>
      <w:bookmarkEnd w:id="0"/>
      <w:r>
        <w:rPr>
          <w:rFonts w:hint="default" w:ascii="Times New Roman" w:hAnsi="Times New Roman" w:eastAsia="仿宋" w:cs="Times New Roman"/>
          <w:color w:val="222222"/>
          <w:spacing w:val="11"/>
          <w:sz w:val="31"/>
          <w:szCs w:val="31"/>
        </w:rPr>
        <w:t>黑龙江省自然资源厅办公室关于印发《黑龙江省国土空间总体规划动态调整完善工作方案（试行）》的通知</w:t>
      </w:r>
      <w:r>
        <w:rPr>
          <w:rFonts w:hint="default" w:ascii="Times New Roman" w:hAnsi="Times New Roman" w:eastAsia="仿宋" w:cs="Times New Roman"/>
          <w:color w:val="222222"/>
          <w:spacing w:val="14"/>
          <w:sz w:val="31"/>
          <w:szCs w:val="31"/>
        </w:rPr>
        <w:t>等文件要</w:t>
      </w:r>
      <w:r>
        <w:rPr>
          <w:rFonts w:hint="default" w:ascii="Times New Roman" w:hAnsi="Times New Roman" w:eastAsia="仿宋" w:cs="Times New Roman"/>
          <w:color w:val="222222"/>
          <w:spacing w:val="15"/>
          <w:sz w:val="31"/>
          <w:szCs w:val="31"/>
        </w:rPr>
        <w:t>求，为进一步强化空间布局和自然资源要素配置，</w:t>
      </w:r>
      <w:r>
        <w:rPr>
          <w:rFonts w:hint="default" w:ascii="Times New Roman" w:hAnsi="Times New Roman" w:eastAsia="仿宋" w:cs="Times New Roman"/>
          <w:color w:val="222222"/>
          <w:spacing w:val="22"/>
          <w:sz w:val="31"/>
          <w:szCs w:val="31"/>
        </w:rPr>
        <w:t>保障</w:t>
      </w:r>
      <w:r>
        <w:rPr>
          <w:rFonts w:hint="default" w:ascii="Times New Roman" w:hAnsi="Times New Roman" w:eastAsia="仿宋" w:cs="Times New Roman"/>
          <w:color w:val="222222"/>
          <w:spacing w:val="22"/>
          <w:sz w:val="31"/>
          <w:szCs w:val="31"/>
          <w:lang w:val="en-US" w:eastAsia="zh-CN"/>
        </w:rPr>
        <w:t>集贤</w:t>
      </w:r>
      <w:r>
        <w:rPr>
          <w:rFonts w:hint="default" w:ascii="Times New Roman" w:hAnsi="Times New Roman" w:eastAsia="仿宋" w:cs="Times New Roman"/>
          <w:color w:val="222222"/>
          <w:spacing w:val="22"/>
          <w:sz w:val="31"/>
          <w:szCs w:val="31"/>
        </w:rPr>
        <w:t>县“十五五”期间重点建设项目落地实施，做好</w:t>
      </w:r>
      <w:r>
        <w:rPr>
          <w:rFonts w:hint="default" w:ascii="Times New Roman" w:hAnsi="Times New Roman" w:eastAsia="仿宋" w:cs="Times New Roman"/>
          <w:color w:val="222222"/>
          <w:spacing w:val="12"/>
          <w:sz w:val="31"/>
          <w:szCs w:val="31"/>
        </w:rPr>
        <w:t>“十五五”相关规划与国土空间规划衔接工作。基于《</w:t>
      </w:r>
      <w:r>
        <w:rPr>
          <w:rFonts w:hint="default" w:ascii="Times New Roman" w:hAnsi="Times New Roman" w:eastAsia="仿宋" w:cs="Times New Roman"/>
          <w:color w:val="222222"/>
          <w:spacing w:val="12"/>
          <w:sz w:val="31"/>
          <w:szCs w:val="31"/>
          <w:lang w:val="en-US" w:eastAsia="zh-CN"/>
        </w:rPr>
        <w:t>双鸭山市集贤</w:t>
      </w:r>
      <w:r>
        <w:rPr>
          <w:rFonts w:hint="default" w:ascii="Times New Roman" w:hAnsi="Times New Roman" w:eastAsia="仿宋" w:cs="Times New Roman"/>
          <w:color w:val="222222"/>
          <w:spacing w:val="10"/>
          <w:sz w:val="31"/>
          <w:szCs w:val="31"/>
        </w:rPr>
        <w:t>县国土空间总体规划（</w:t>
      </w:r>
      <w:r>
        <w:rPr>
          <w:rFonts w:hint="default" w:ascii="Times New Roman" w:hAnsi="Times New Roman" w:cs="Times New Roman"/>
          <w:color w:val="222222"/>
          <w:spacing w:val="10"/>
          <w:sz w:val="31"/>
          <w:szCs w:val="31"/>
        </w:rPr>
        <w:t>2021</w:t>
      </w:r>
      <w:r>
        <w:rPr>
          <w:rFonts w:hint="eastAsia" w:ascii="Times New Roman" w:hAnsi="Times New Roman" w:eastAsia="宋体" w:cs="Times New Roman"/>
          <w:color w:val="222222"/>
          <w:spacing w:val="10"/>
          <w:sz w:val="31"/>
          <w:szCs w:val="31"/>
          <w:lang w:eastAsia="zh-CN"/>
        </w:rPr>
        <w:t>—</w:t>
      </w:r>
      <w:r>
        <w:rPr>
          <w:rFonts w:hint="default" w:ascii="Times New Roman" w:hAnsi="Times New Roman" w:cs="Times New Roman"/>
          <w:color w:val="222222"/>
          <w:spacing w:val="10"/>
          <w:sz w:val="31"/>
          <w:szCs w:val="31"/>
        </w:rPr>
        <w:t>2035</w:t>
      </w:r>
      <w:r>
        <w:rPr>
          <w:rFonts w:hint="default" w:ascii="Times New Roman" w:hAnsi="Times New Roman" w:eastAsia="仿宋" w:cs="Times New Roman"/>
          <w:color w:val="222222"/>
          <w:spacing w:val="10"/>
          <w:sz w:val="31"/>
          <w:szCs w:val="31"/>
        </w:rPr>
        <w:t>年）》（以下</w:t>
      </w:r>
      <w:r>
        <w:rPr>
          <w:rFonts w:hint="default" w:ascii="Times New Roman" w:hAnsi="Times New Roman" w:eastAsia="仿宋" w:cs="Times New Roman"/>
          <w:color w:val="222222"/>
          <w:spacing w:val="8"/>
          <w:sz w:val="31"/>
          <w:szCs w:val="31"/>
        </w:rPr>
        <w:t>简称《总体规划》）</w:t>
      </w:r>
      <w:r>
        <w:rPr>
          <w:rFonts w:hint="default" w:ascii="Times New Roman" w:hAnsi="Times New Roman" w:eastAsia="仿宋" w:cs="Times New Roman"/>
          <w:color w:val="222222"/>
          <w:spacing w:val="8"/>
          <w:sz w:val="31"/>
          <w:szCs w:val="31"/>
          <w:lang w:eastAsia="zh-CN"/>
        </w:rPr>
        <w:t>，</w:t>
      </w:r>
      <w:r>
        <w:rPr>
          <w:rFonts w:hint="default" w:ascii="Times New Roman" w:hAnsi="Times New Roman" w:eastAsia="仿宋" w:cs="Times New Roman"/>
          <w:color w:val="222222"/>
          <w:spacing w:val="8"/>
          <w:sz w:val="31"/>
          <w:szCs w:val="31"/>
          <w:lang w:val="en-US" w:eastAsia="zh-CN"/>
        </w:rPr>
        <w:t>集贤</w:t>
      </w:r>
      <w:r>
        <w:rPr>
          <w:rFonts w:hint="default" w:ascii="Times New Roman" w:hAnsi="Times New Roman" w:eastAsia="仿宋" w:cs="Times New Roman"/>
          <w:color w:val="222222"/>
          <w:spacing w:val="8"/>
          <w:sz w:val="31"/>
          <w:szCs w:val="31"/>
        </w:rPr>
        <w:t>县人民政府组织自然资源局开展</w:t>
      </w:r>
      <w:r>
        <w:rPr>
          <w:rFonts w:hint="default" w:ascii="Times New Roman" w:hAnsi="Times New Roman" w:eastAsia="仿宋" w:cs="Times New Roman"/>
          <w:color w:val="222222"/>
          <w:spacing w:val="12"/>
          <w:sz w:val="31"/>
          <w:szCs w:val="31"/>
          <w:lang w:val="en-US" w:eastAsia="zh-CN"/>
        </w:rPr>
        <w:t>双鸭山市集贤</w:t>
      </w:r>
      <w:r>
        <w:rPr>
          <w:rFonts w:hint="default" w:ascii="Times New Roman" w:hAnsi="Times New Roman" w:eastAsia="仿宋" w:cs="Times New Roman"/>
          <w:color w:val="222222"/>
          <w:spacing w:val="10"/>
          <w:sz w:val="31"/>
          <w:szCs w:val="31"/>
        </w:rPr>
        <w:t>县国土空间总体规划动</w:t>
      </w:r>
      <w:r>
        <w:rPr>
          <w:rFonts w:hint="default" w:ascii="Times New Roman" w:hAnsi="Times New Roman" w:eastAsia="仿宋" w:cs="Times New Roman"/>
          <w:color w:val="222222"/>
          <w:spacing w:val="14"/>
          <w:sz w:val="31"/>
          <w:szCs w:val="31"/>
        </w:rPr>
        <w:t>态维护工作。动态维护工作将严格按照法定程序组织开展，充分征求各相关部门、乡镇（街道）及社会公众的意见，确保调整过程公开、公平、公正，调整结果符合</w:t>
      </w:r>
      <w:r>
        <w:rPr>
          <w:rFonts w:hint="default" w:ascii="Times New Roman" w:hAnsi="Times New Roman" w:eastAsia="仿宋" w:cs="Times New Roman"/>
          <w:color w:val="222222"/>
          <w:spacing w:val="14"/>
          <w:sz w:val="31"/>
          <w:szCs w:val="31"/>
          <w:lang w:val="en-US" w:eastAsia="zh-CN"/>
        </w:rPr>
        <w:t>集贤</w:t>
      </w:r>
      <w:r>
        <w:rPr>
          <w:rFonts w:hint="default" w:ascii="Times New Roman" w:hAnsi="Times New Roman" w:eastAsia="仿宋" w:cs="Times New Roman"/>
          <w:color w:val="222222"/>
          <w:spacing w:val="9"/>
          <w:sz w:val="31"/>
          <w:szCs w:val="31"/>
        </w:rPr>
        <w:t>县长远发展利益和国家战略导向。</w:t>
      </w:r>
    </w:p>
    <w:p w14:paraId="5BD9431A">
      <w:pPr>
        <w:spacing w:before="13" w:line="357" w:lineRule="auto"/>
        <w:ind w:left="28" w:firstLine="639"/>
        <w:jc w:val="both"/>
        <w:rPr>
          <w:rFonts w:hint="default" w:ascii="Times New Roman" w:hAnsi="Times New Roman" w:eastAsia="仿宋" w:cs="Times New Roman"/>
          <w:sz w:val="31"/>
          <w:szCs w:val="31"/>
        </w:rPr>
      </w:pPr>
      <w:r>
        <w:rPr>
          <w:rFonts w:hint="default" w:ascii="Times New Roman" w:hAnsi="Times New Roman" w:eastAsia="仿宋" w:cs="Times New Roman"/>
          <w:color w:val="222222"/>
          <w:spacing w:val="13"/>
          <w:sz w:val="31"/>
          <w:szCs w:val="31"/>
        </w:rPr>
        <w:t>本方案的核心目标是在坚守永久基本农田保护红线、生态保护红线、城镇开发边界三条控制线的基础上，通过</w:t>
      </w:r>
      <w:r>
        <w:rPr>
          <w:rFonts w:hint="default" w:ascii="Times New Roman" w:hAnsi="Times New Roman" w:eastAsia="仿宋" w:cs="Times New Roman"/>
          <w:color w:val="222222"/>
          <w:spacing w:val="12"/>
          <w:sz w:val="31"/>
          <w:szCs w:val="31"/>
        </w:rPr>
        <w:t>动态</w:t>
      </w:r>
      <w:r>
        <w:rPr>
          <w:rFonts w:hint="default" w:ascii="Times New Roman" w:hAnsi="Times New Roman" w:eastAsia="仿宋" w:cs="Times New Roman"/>
          <w:color w:val="222222"/>
          <w:spacing w:val="13"/>
          <w:sz w:val="31"/>
          <w:szCs w:val="31"/>
        </w:rPr>
        <w:t>调整机制，破解当前规划实施中存在的用地供需矛盾、</w:t>
      </w:r>
      <w:r>
        <w:rPr>
          <w:rFonts w:hint="default" w:ascii="Times New Roman" w:hAnsi="Times New Roman" w:eastAsia="仿宋" w:cs="Times New Roman"/>
          <w:color w:val="222222"/>
          <w:spacing w:val="12"/>
          <w:sz w:val="31"/>
          <w:szCs w:val="31"/>
        </w:rPr>
        <w:t>空间</w:t>
      </w:r>
      <w:r>
        <w:rPr>
          <w:rFonts w:hint="default" w:ascii="Times New Roman" w:hAnsi="Times New Roman" w:eastAsia="仿宋" w:cs="Times New Roman"/>
          <w:color w:val="222222"/>
          <w:spacing w:val="7"/>
          <w:sz w:val="31"/>
          <w:szCs w:val="31"/>
        </w:rPr>
        <w:t>布局不合理、公共服务设施与基础设施配套滞后等突出问题。</w:t>
      </w:r>
    </w:p>
    <w:p w14:paraId="13815E89">
      <w:pPr>
        <w:spacing w:line="357" w:lineRule="auto"/>
        <w:rPr>
          <w:rFonts w:hint="default" w:ascii="Times New Roman" w:hAnsi="Times New Roman" w:eastAsia="仿宋" w:cs="Times New Roman"/>
          <w:sz w:val="31"/>
          <w:szCs w:val="31"/>
        </w:rPr>
        <w:sectPr>
          <w:pgSz w:w="11906" w:h="16839"/>
          <w:pgMar w:top="1431" w:right="1530" w:bottom="0" w:left="1777" w:header="0" w:footer="0" w:gutter="0"/>
          <w:cols w:space="720" w:num="1"/>
        </w:sectPr>
      </w:pPr>
    </w:p>
    <w:p w14:paraId="736949D8">
      <w:pPr>
        <w:pStyle w:val="2"/>
        <w:keepNext w:val="0"/>
        <w:keepLines w:val="0"/>
        <w:pageBreakBefore w:val="0"/>
        <w:widowControl/>
        <w:kinsoku w:val="0"/>
        <w:wordWrap/>
        <w:overflowPunct/>
        <w:topLinePunct w:val="0"/>
        <w:autoSpaceDE w:val="0"/>
        <w:autoSpaceDN w:val="0"/>
        <w:bidi w:val="0"/>
        <w:adjustRightInd w:val="0"/>
        <w:snapToGrid w:val="0"/>
        <w:spacing w:before="0" w:beforeLines="100" w:beforeAutospacing="0" w:after="0" w:afterLines="100" w:afterAutospacing="0" w:line="560" w:lineRule="exact"/>
        <w:ind w:firstLine="640" w:firstLineChars="200"/>
        <w:textAlignment w:val="baseline"/>
        <w:rPr>
          <w:rFonts w:hint="default" w:ascii="Times New Roman" w:hAnsi="Times New Roman" w:cs="Times New Roman"/>
        </w:rPr>
      </w:pPr>
      <w:r>
        <w:rPr>
          <w:rFonts w:hint="default" w:ascii="Times New Roman" w:hAnsi="Times New Roman" w:eastAsia="黑体" w:cs="Times New Roman"/>
          <w:b w:val="0"/>
          <w:bCs w:val="0"/>
          <w:color w:val="000000"/>
          <w:sz w:val="32"/>
          <w:szCs w:val="32"/>
        </w:rPr>
        <w:t>一、背景</w:t>
      </w:r>
    </w:p>
    <w:p w14:paraId="5471BF38">
      <w:pPr>
        <w:spacing w:line="600" w:lineRule="exact"/>
        <w:ind w:firstLine="640" w:firstLineChars="200"/>
        <w:rPr>
          <w:rFonts w:hint="default" w:ascii="Times New Roman" w:hAnsi="Times New Roman" w:eastAsia="仿宋_GB2312" w:cs="Times New Roman"/>
          <w:sz w:val="32"/>
        </w:rPr>
      </w:pPr>
      <w:r>
        <w:rPr>
          <w:rFonts w:hint="default" w:ascii="Times New Roman" w:hAnsi="Times New Roman" w:eastAsia="仿宋_GB2312" w:cs="Times New Roman"/>
          <w:sz w:val="32"/>
        </w:rPr>
        <w:t>为深入贯彻党的二十届四中全会精神，落实《中共中央关于制定国民经济和社会发展第十五个五年规划的建议》，在国土空间规划中充分体现国家“十五五”规划指导方针要求，加强空间布局引领和自然资源要素配置，支持国家重大政策、重大改革、重大项目落地实施，促进形成优势互补、高质量发展的区域经济布局和国土空间体系，因此决定开展国土空间总体规划动态调整完善工作。</w:t>
      </w:r>
    </w:p>
    <w:p w14:paraId="443F5B22">
      <w:pPr>
        <w:spacing w:line="600" w:lineRule="exact"/>
        <w:ind w:firstLine="640" w:firstLineChars="200"/>
        <w:rPr>
          <w:rFonts w:hint="default" w:ascii="Times New Roman" w:hAnsi="Times New Roman" w:eastAsia="仿宋_GB2312" w:cs="Times New Roman"/>
          <w:sz w:val="32"/>
        </w:rPr>
      </w:pPr>
      <w:r>
        <w:rPr>
          <w:rFonts w:hint="default" w:ascii="Times New Roman" w:hAnsi="Times New Roman" w:eastAsia="仿宋_GB2312" w:cs="Times New Roman"/>
          <w:sz w:val="32"/>
        </w:rPr>
        <w:t>本次工作基于国土空间规划体检评估结果，开展国土空间总体规划动态调整完善。在严守空间安全底线，不突破国土空间总体规划确定的保护目标任务前提下，编制《</w:t>
      </w:r>
      <w:r>
        <w:rPr>
          <w:rFonts w:hint="default" w:ascii="Times New Roman" w:hAnsi="Times New Roman" w:eastAsia="仿宋_GB2312" w:cs="Times New Roman"/>
          <w:sz w:val="32"/>
          <w:lang w:eastAsia="zh-CN"/>
        </w:rPr>
        <w:t>双鸭山市集贤县</w:t>
      </w:r>
      <w:r>
        <w:rPr>
          <w:rFonts w:hint="default" w:ascii="Times New Roman" w:hAnsi="Times New Roman" w:eastAsia="仿宋_GB2312" w:cs="Times New Roman"/>
          <w:sz w:val="32"/>
        </w:rPr>
        <w:t>国土空间总体规划动态维护方案》。</w:t>
      </w:r>
    </w:p>
    <w:p w14:paraId="21AE8122">
      <w:pPr>
        <w:pStyle w:val="2"/>
        <w:keepNext w:val="0"/>
        <w:keepLines w:val="0"/>
        <w:pageBreakBefore w:val="0"/>
        <w:widowControl/>
        <w:kinsoku w:val="0"/>
        <w:wordWrap/>
        <w:overflowPunct/>
        <w:topLinePunct w:val="0"/>
        <w:autoSpaceDE w:val="0"/>
        <w:autoSpaceDN w:val="0"/>
        <w:bidi w:val="0"/>
        <w:adjustRightInd w:val="0"/>
        <w:snapToGrid w:val="0"/>
        <w:spacing w:before="0" w:beforeLines="100" w:beforeAutospacing="0" w:after="0" w:afterLines="100" w:afterAutospacing="0" w:line="560" w:lineRule="exact"/>
        <w:ind w:firstLine="640" w:firstLineChars="200"/>
        <w:textAlignment w:val="baseline"/>
        <w:rPr>
          <w:rFonts w:hint="default" w:ascii="Times New Roman" w:hAnsi="Times New Roman" w:eastAsia="黑体" w:cs="Times New Roman"/>
          <w:b w:val="0"/>
          <w:bCs w:val="0"/>
          <w:color w:val="000000"/>
          <w:sz w:val="32"/>
          <w:szCs w:val="32"/>
        </w:rPr>
      </w:pPr>
      <w:r>
        <w:rPr>
          <w:rFonts w:hint="default" w:ascii="Times New Roman" w:hAnsi="Times New Roman" w:eastAsia="黑体" w:cs="Times New Roman"/>
          <w:b w:val="0"/>
          <w:bCs w:val="0"/>
          <w:color w:val="000000"/>
          <w:sz w:val="32"/>
          <w:szCs w:val="32"/>
        </w:rPr>
        <w:t>二、编制目的</w:t>
      </w:r>
    </w:p>
    <w:p w14:paraId="4EA5EAE2">
      <w:pPr>
        <w:spacing w:line="600" w:lineRule="exact"/>
        <w:ind w:firstLine="640" w:firstLineChars="200"/>
        <w:rPr>
          <w:rFonts w:hint="default" w:ascii="Times New Roman" w:hAnsi="Times New Roman" w:eastAsia="仿宋_GB2312" w:cs="Times New Roman"/>
          <w:sz w:val="32"/>
        </w:rPr>
      </w:pPr>
      <w:r>
        <w:rPr>
          <w:rFonts w:hint="default" w:ascii="Times New Roman" w:hAnsi="Times New Roman" w:eastAsia="仿宋_GB2312" w:cs="Times New Roman"/>
          <w:sz w:val="32"/>
        </w:rPr>
        <w:t>开展规划动态调整完善，是国家统一部署对空间布局的主动调整和优化，是服务保障“十五五”开好局、起好步的一项重大举措。本次规划动态维护在严守空间安全底线，不突破国土空间总体规划确定的保护目标任务，不改变总体规划确定的空间结构和格局的前提下，以正向优化为导向，对三条控制线布局进行正向优化，对规划分区、中心城区用地布局、重点建设项目清单等进行动态维护。</w:t>
      </w:r>
    </w:p>
    <w:p w14:paraId="196D5660">
      <w:pPr>
        <w:spacing w:line="600" w:lineRule="exact"/>
        <w:ind w:firstLine="640" w:firstLineChars="200"/>
        <w:rPr>
          <w:rFonts w:hint="default" w:ascii="Times New Roman" w:hAnsi="Times New Roman" w:eastAsia="仿宋_GB2312" w:cs="Times New Roman"/>
          <w:sz w:val="32"/>
        </w:rPr>
      </w:pPr>
    </w:p>
    <w:p w14:paraId="1B3B8C90">
      <w:pPr>
        <w:pStyle w:val="8"/>
        <w:rPr>
          <w:rFonts w:hint="default" w:ascii="Times New Roman" w:hAnsi="Times New Roman" w:cs="Times New Roman"/>
        </w:rPr>
      </w:pPr>
    </w:p>
    <w:p w14:paraId="0E27F6FF">
      <w:pPr>
        <w:pStyle w:val="2"/>
        <w:keepNext w:val="0"/>
        <w:keepLines w:val="0"/>
        <w:pageBreakBefore w:val="0"/>
        <w:widowControl/>
        <w:kinsoku w:val="0"/>
        <w:wordWrap/>
        <w:overflowPunct/>
        <w:topLinePunct w:val="0"/>
        <w:autoSpaceDE w:val="0"/>
        <w:autoSpaceDN w:val="0"/>
        <w:bidi w:val="0"/>
        <w:adjustRightInd w:val="0"/>
        <w:snapToGrid w:val="0"/>
        <w:spacing w:before="0" w:beforeLines="100" w:beforeAutospacing="0" w:after="0" w:afterLines="100" w:afterAutospacing="0" w:line="560" w:lineRule="exact"/>
        <w:ind w:firstLine="640" w:firstLineChars="200"/>
        <w:textAlignment w:val="baseline"/>
        <w:rPr>
          <w:rFonts w:hint="default" w:ascii="Times New Roman" w:hAnsi="Times New Roman" w:cs="Times New Roman"/>
        </w:rPr>
      </w:pPr>
      <w:r>
        <w:rPr>
          <w:rFonts w:hint="default" w:ascii="Times New Roman" w:hAnsi="Times New Roman" w:eastAsia="黑体" w:cs="Times New Roman"/>
          <w:b w:val="0"/>
          <w:bCs w:val="0"/>
          <w:color w:val="000000"/>
          <w:sz w:val="32"/>
          <w:szCs w:val="32"/>
          <w:lang w:eastAsia="zh-CN"/>
        </w:rPr>
        <w:t>三</w:t>
      </w:r>
      <w:r>
        <w:rPr>
          <w:rFonts w:hint="default" w:ascii="Times New Roman" w:hAnsi="Times New Roman" w:eastAsia="黑体" w:cs="Times New Roman"/>
          <w:b w:val="0"/>
          <w:bCs w:val="0"/>
          <w:color w:val="000000"/>
          <w:sz w:val="32"/>
          <w:szCs w:val="32"/>
        </w:rPr>
        <w:t>、空间范围</w:t>
      </w:r>
    </w:p>
    <w:p w14:paraId="4A335C9D">
      <w:pPr>
        <w:spacing w:before="101" w:line="355" w:lineRule="auto"/>
        <w:ind w:left="31" w:right="11" w:firstLine="640"/>
        <w:jc w:val="both"/>
        <w:rPr>
          <w:rFonts w:hint="default" w:ascii="Times New Roman" w:hAnsi="Times New Roman" w:eastAsia="仿宋_GB2312" w:cs="Times New Roman"/>
          <w:sz w:val="31"/>
          <w:szCs w:val="31"/>
        </w:rPr>
      </w:pPr>
      <w:r>
        <w:rPr>
          <w:rFonts w:hint="default" w:ascii="Times New Roman" w:hAnsi="Times New Roman" w:eastAsia="仿宋_GB2312" w:cs="Times New Roman"/>
          <w:color w:val="222222"/>
          <w:spacing w:val="22"/>
          <w:sz w:val="31"/>
          <w:szCs w:val="31"/>
        </w:rPr>
        <w:t>本次动态维护工作的空间覆盖范围与已批复的《总体</w:t>
      </w:r>
      <w:r>
        <w:rPr>
          <w:rFonts w:hint="default" w:ascii="Times New Roman" w:hAnsi="Times New Roman" w:eastAsia="仿宋_GB2312" w:cs="Times New Roman"/>
          <w:color w:val="222222"/>
          <w:spacing w:val="15"/>
          <w:sz w:val="31"/>
          <w:szCs w:val="31"/>
        </w:rPr>
        <w:t>规划》范围一致，本规划包括</w:t>
      </w:r>
      <w:r>
        <w:rPr>
          <w:rFonts w:hint="default" w:ascii="Times New Roman" w:hAnsi="Times New Roman" w:eastAsia="仿宋_GB2312" w:cs="Times New Roman"/>
          <w:color w:val="222222"/>
          <w:spacing w:val="15"/>
          <w:sz w:val="31"/>
          <w:szCs w:val="31"/>
          <w:lang w:eastAsia="zh-CN"/>
        </w:rPr>
        <w:t>集贤</w:t>
      </w:r>
      <w:r>
        <w:rPr>
          <w:rFonts w:hint="default" w:ascii="Times New Roman" w:hAnsi="Times New Roman" w:eastAsia="仿宋_GB2312" w:cs="Times New Roman"/>
          <w:color w:val="222222"/>
          <w:spacing w:val="15"/>
          <w:sz w:val="31"/>
          <w:szCs w:val="31"/>
        </w:rPr>
        <w:t>县县域、中心城区两个</w:t>
      </w:r>
      <w:r>
        <w:rPr>
          <w:rFonts w:hint="default" w:ascii="Times New Roman" w:hAnsi="Times New Roman" w:eastAsia="仿宋_GB2312" w:cs="Times New Roman"/>
          <w:color w:val="222222"/>
          <w:spacing w:val="3"/>
          <w:sz w:val="31"/>
          <w:szCs w:val="31"/>
        </w:rPr>
        <w:t>空间层次。</w:t>
      </w:r>
    </w:p>
    <w:p w14:paraId="554D2973">
      <w:pPr>
        <w:pStyle w:val="3"/>
        <w:spacing w:before="2" w:line="355" w:lineRule="auto"/>
        <w:ind w:left="31" w:right="12" w:firstLine="641"/>
        <w:rPr>
          <w:rFonts w:hint="default" w:ascii="Times New Roman" w:hAnsi="Times New Roman" w:eastAsia="仿宋_GB2312" w:cs="Times New Roman"/>
          <w:sz w:val="31"/>
          <w:szCs w:val="31"/>
        </w:rPr>
      </w:pPr>
      <w:r>
        <w:rPr>
          <w:rFonts w:hint="default" w:ascii="Times New Roman" w:hAnsi="Times New Roman" w:eastAsia="仿宋_GB2312" w:cs="Times New Roman"/>
          <w:color w:val="222222"/>
          <w:spacing w:val="20"/>
          <w:sz w:val="31"/>
          <w:szCs w:val="31"/>
        </w:rPr>
        <w:t>县域层次：</w:t>
      </w:r>
      <w:r>
        <w:rPr>
          <w:rFonts w:hint="default" w:ascii="Times New Roman" w:hAnsi="Times New Roman" w:eastAsia="仿宋_GB2312" w:cs="Times New Roman"/>
          <w:color w:val="222222"/>
          <w:spacing w:val="20"/>
          <w:sz w:val="31"/>
          <w:szCs w:val="31"/>
          <w:lang w:eastAsia="zh-CN"/>
        </w:rPr>
        <w:t>集</w:t>
      </w:r>
      <w:r>
        <w:rPr>
          <w:rFonts w:hint="eastAsia" w:ascii="Times New Roman" w:hAnsi="Times New Roman" w:eastAsia="仿宋_GB2312" w:cs="Times New Roman"/>
          <w:color w:val="222222"/>
          <w:spacing w:val="20"/>
          <w:sz w:val="31"/>
          <w:szCs w:val="31"/>
          <w:lang w:val="en-US" w:eastAsia="zh-CN"/>
        </w:rPr>
        <w:t>贤</w:t>
      </w:r>
      <w:r>
        <w:rPr>
          <w:rFonts w:hint="default" w:ascii="Times New Roman" w:hAnsi="Times New Roman" w:eastAsia="仿宋_GB2312" w:cs="Times New Roman"/>
          <w:color w:val="222222"/>
          <w:spacing w:val="20"/>
          <w:sz w:val="31"/>
          <w:szCs w:val="31"/>
        </w:rPr>
        <w:t>县行政辖区内全部国土空间</w:t>
      </w:r>
      <w:r>
        <w:rPr>
          <w:rFonts w:hint="default" w:ascii="Times New Roman" w:hAnsi="Times New Roman" w:eastAsia="仿宋_GB2312" w:cs="Times New Roman"/>
          <w:color w:val="222222"/>
          <w:spacing w:val="-24"/>
          <w:sz w:val="31"/>
          <w:szCs w:val="31"/>
        </w:rPr>
        <w:t>。</w:t>
      </w:r>
    </w:p>
    <w:p w14:paraId="6D1140AF">
      <w:pPr>
        <w:pStyle w:val="3"/>
        <w:spacing w:before="16" w:line="349" w:lineRule="auto"/>
        <w:ind w:left="29" w:right="13" w:firstLine="683"/>
        <w:jc w:val="both"/>
        <w:rPr>
          <w:rFonts w:hint="default" w:ascii="Times New Roman" w:hAnsi="Times New Roman" w:eastAsia="仿宋_GB2312" w:cs="Times New Roman"/>
          <w:sz w:val="31"/>
          <w:szCs w:val="31"/>
        </w:rPr>
      </w:pPr>
      <w:r>
        <w:rPr>
          <w:rFonts w:hint="default" w:ascii="Times New Roman" w:hAnsi="Times New Roman" w:eastAsia="仿宋_GB2312" w:cs="Times New Roman"/>
          <w:color w:val="222222"/>
          <w:spacing w:val="16"/>
          <w:sz w:val="31"/>
          <w:szCs w:val="31"/>
        </w:rPr>
        <w:t>中心城区层次：中心城区城镇开发边界及外围协调拓展区域</w:t>
      </w:r>
      <w:r>
        <w:rPr>
          <w:rFonts w:hint="default" w:ascii="Times New Roman" w:hAnsi="Times New Roman" w:eastAsia="仿宋_GB2312" w:cs="Times New Roman"/>
          <w:color w:val="222222"/>
          <w:spacing w:val="3"/>
          <w:sz w:val="31"/>
          <w:szCs w:val="31"/>
        </w:rPr>
        <w:t>。</w:t>
      </w:r>
    </w:p>
    <w:p w14:paraId="0A978F25">
      <w:pPr>
        <w:pStyle w:val="2"/>
        <w:keepNext w:val="0"/>
        <w:keepLines w:val="0"/>
        <w:pageBreakBefore w:val="0"/>
        <w:widowControl/>
        <w:kinsoku w:val="0"/>
        <w:wordWrap/>
        <w:overflowPunct/>
        <w:topLinePunct w:val="0"/>
        <w:autoSpaceDE w:val="0"/>
        <w:autoSpaceDN w:val="0"/>
        <w:bidi w:val="0"/>
        <w:adjustRightInd w:val="0"/>
        <w:snapToGrid w:val="0"/>
        <w:spacing w:before="0" w:beforeLines="100" w:beforeAutospacing="0" w:after="0" w:afterLines="100" w:afterAutospacing="0" w:line="560" w:lineRule="exact"/>
        <w:ind w:firstLine="640" w:firstLineChars="200"/>
        <w:textAlignment w:val="baseline"/>
        <w:rPr>
          <w:rFonts w:hint="default" w:ascii="Times New Roman" w:hAnsi="Times New Roman" w:cs="Times New Roman"/>
        </w:rPr>
      </w:pPr>
      <w:r>
        <w:rPr>
          <w:rFonts w:hint="default" w:ascii="Times New Roman" w:hAnsi="Times New Roman" w:eastAsia="黑体" w:cs="Times New Roman"/>
          <w:b w:val="0"/>
          <w:bCs w:val="0"/>
          <w:color w:val="000000"/>
          <w:sz w:val="32"/>
          <w:szCs w:val="32"/>
          <w:lang w:eastAsia="zh-CN"/>
        </w:rPr>
        <w:t>四</w:t>
      </w:r>
      <w:r>
        <w:rPr>
          <w:rFonts w:hint="default" w:ascii="Times New Roman" w:hAnsi="Times New Roman" w:eastAsia="黑体" w:cs="Times New Roman"/>
          <w:b w:val="0"/>
          <w:bCs w:val="0"/>
          <w:color w:val="000000"/>
          <w:sz w:val="32"/>
          <w:szCs w:val="32"/>
        </w:rPr>
        <w:t>、规划依据</w:t>
      </w:r>
    </w:p>
    <w:p w14:paraId="70747D06">
      <w:pPr>
        <w:spacing w:before="101" w:line="355" w:lineRule="auto"/>
        <w:ind w:left="31" w:right="11" w:firstLine="640"/>
        <w:jc w:val="both"/>
        <w:rPr>
          <w:rFonts w:hint="default" w:ascii="Times New Roman" w:hAnsi="Times New Roman" w:eastAsia="仿宋_GB2312" w:cs="Times New Roman"/>
          <w:color w:val="222222"/>
          <w:spacing w:val="22"/>
          <w:sz w:val="31"/>
          <w:szCs w:val="31"/>
          <w:lang w:val="en-US" w:eastAsia="zh-CN"/>
        </w:rPr>
      </w:pPr>
      <w:r>
        <w:rPr>
          <w:rFonts w:hint="default" w:ascii="Times New Roman" w:hAnsi="Times New Roman" w:eastAsia="仿宋_GB2312" w:cs="Times New Roman"/>
          <w:color w:val="222222"/>
          <w:spacing w:val="22"/>
          <w:sz w:val="31"/>
          <w:szCs w:val="31"/>
          <w:lang w:val="en-US" w:eastAsia="zh-CN"/>
        </w:rPr>
        <w:t>1、《中共中央 国务院关于建立国土空间总体规划体系并监督实施的若干意见》（中发〔2019〕18号）；</w:t>
      </w:r>
    </w:p>
    <w:p w14:paraId="10A2B128">
      <w:pPr>
        <w:spacing w:before="101" w:line="355" w:lineRule="auto"/>
        <w:ind w:left="31" w:right="11" w:firstLine="640"/>
        <w:jc w:val="both"/>
        <w:rPr>
          <w:rFonts w:hint="default" w:ascii="Times New Roman" w:hAnsi="Times New Roman" w:eastAsia="仿宋_GB2312" w:cs="Times New Roman"/>
          <w:color w:val="222222"/>
          <w:spacing w:val="22"/>
          <w:sz w:val="31"/>
          <w:szCs w:val="31"/>
          <w:lang w:val="en-US" w:eastAsia="zh-CN"/>
        </w:rPr>
      </w:pPr>
      <w:r>
        <w:rPr>
          <w:rFonts w:hint="default" w:ascii="Times New Roman" w:hAnsi="Times New Roman" w:eastAsia="仿宋_GB2312" w:cs="Times New Roman"/>
          <w:color w:val="222222"/>
          <w:spacing w:val="22"/>
          <w:sz w:val="31"/>
          <w:szCs w:val="31"/>
          <w:lang w:val="en-US" w:eastAsia="zh-CN"/>
        </w:rPr>
        <w:t>2、《自然资源部关于进一步加强国土空间总体规划编制和实施管理的通知》（自然资发〔2022〕186号）；</w:t>
      </w:r>
    </w:p>
    <w:p w14:paraId="38099EFE">
      <w:pPr>
        <w:spacing w:before="101" w:line="355" w:lineRule="auto"/>
        <w:ind w:left="31" w:right="11" w:firstLine="640"/>
        <w:jc w:val="both"/>
        <w:rPr>
          <w:rFonts w:hint="default" w:ascii="Times New Roman" w:hAnsi="Times New Roman" w:eastAsia="仿宋_GB2312" w:cs="Times New Roman"/>
          <w:color w:val="222222"/>
          <w:spacing w:val="22"/>
          <w:sz w:val="31"/>
          <w:szCs w:val="31"/>
          <w:lang w:val="en-US" w:eastAsia="zh-CN"/>
        </w:rPr>
      </w:pPr>
      <w:r>
        <w:rPr>
          <w:rFonts w:hint="default" w:ascii="Times New Roman" w:hAnsi="Times New Roman" w:eastAsia="仿宋_GB2312" w:cs="Times New Roman"/>
          <w:color w:val="222222"/>
          <w:spacing w:val="22"/>
          <w:sz w:val="31"/>
          <w:szCs w:val="31"/>
          <w:lang w:val="en-US" w:eastAsia="zh-CN"/>
        </w:rPr>
        <w:t>3、《自然资源部办公厅关于印发〈国土空间总体规划城市体检评估规程（2025年修订版）〉的通知》（自然资发〔2025〕15号）；</w:t>
      </w:r>
    </w:p>
    <w:p w14:paraId="7AC573E4">
      <w:pPr>
        <w:spacing w:before="101" w:line="355" w:lineRule="auto"/>
        <w:ind w:left="31" w:right="11" w:firstLine="640"/>
        <w:jc w:val="both"/>
        <w:rPr>
          <w:rFonts w:hint="default" w:ascii="Times New Roman" w:hAnsi="Times New Roman" w:eastAsia="仿宋_GB2312" w:cs="Times New Roman"/>
          <w:color w:val="222222"/>
          <w:spacing w:val="22"/>
          <w:sz w:val="31"/>
          <w:szCs w:val="31"/>
          <w:lang w:eastAsia="zh-CN"/>
        </w:rPr>
      </w:pPr>
      <w:r>
        <w:rPr>
          <w:rFonts w:hint="default" w:ascii="Times New Roman" w:hAnsi="Times New Roman" w:eastAsia="仿宋_GB2312" w:cs="Times New Roman"/>
          <w:color w:val="222222"/>
          <w:spacing w:val="22"/>
          <w:sz w:val="31"/>
          <w:szCs w:val="31"/>
          <w:lang w:val="en-US" w:eastAsia="zh-CN"/>
        </w:rPr>
        <w:t>4、</w:t>
      </w:r>
      <w:r>
        <w:rPr>
          <w:rFonts w:hint="default" w:ascii="Times New Roman" w:hAnsi="Times New Roman" w:eastAsia="仿宋_GB2312" w:cs="Times New Roman"/>
          <w:color w:val="222222"/>
          <w:spacing w:val="22"/>
          <w:sz w:val="31"/>
          <w:szCs w:val="31"/>
          <w:lang w:eastAsia="zh-CN"/>
        </w:rPr>
        <w:t>《</w:t>
      </w:r>
      <w:r>
        <w:rPr>
          <w:rFonts w:hint="default" w:ascii="Times New Roman" w:hAnsi="Times New Roman" w:eastAsia="仿宋_GB2312" w:cs="Times New Roman"/>
          <w:color w:val="222222"/>
          <w:spacing w:val="22"/>
          <w:sz w:val="31"/>
          <w:szCs w:val="31"/>
          <w:lang w:val="en-US" w:eastAsia="zh-CN"/>
        </w:rPr>
        <w:t>自然资源部 生态环境部 国家林业和草原局关于加强生态保护红线管理的通知（试行）</w:t>
      </w:r>
      <w:r>
        <w:rPr>
          <w:rFonts w:hint="default" w:ascii="Times New Roman" w:hAnsi="Times New Roman" w:eastAsia="仿宋_GB2312" w:cs="Times New Roman"/>
          <w:color w:val="222222"/>
          <w:spacing w:val="22"/>
          <w:sz w:val="31"/>
          <w:szCs w:val="31"/>
          <w:lang w:eastAsia="zh-CN"/>
        </w:rPr>
        <w:t>》（</w:t>
      </w:r>
      <w:r>
        <w:rPr>
          <w:rFonts w:hint="default" w:ascii="Times New Roman" w:hAnsi="Times New Roman" w:eastAsia="仿宋_GB2312" w:cs="Times New Roman"/>
          <w:color w:val="222222"/>
          <w:spacing w:val="22"/>
          <w:sz w:val="31"/>
          <w:szCs w:val="31"/>
          <w:lang w:val="en-US" w:eastAsia="zh-CN"/>
        </w:rPr>
        <w:t>自然资发〔2022〕142号</w:t>
      </w:r>
      <w:r>
        <w:rPr>
          <w:rFonts w:hint="default" w:ascii="Times New Roman" w:hAnsi="Times New Roman" w:eastAsia="仿宋_GB2312" w:cs="Times New Roman"/>
          <w:color w:val="222222"/>
          <w:spacing w:val="22"/>
          <w:sz w:val="31"/>
          <w:szCs w:val="31"/>
          <w:lang w:eastAsia="zh-CN"/>
        </w:rPr>
        <w:t>）；</w:t>
      </w:r>
    </w:p>
    <w:p w14:paraId="530F64C5">
      <w:pPr>
        <w:spacing w:before="101" w:line="355" w:lineRule="auto"/>
        <w:ind w:left="31" w:right="11" w:firstLine="640"/>
        <w:jc w:val="both"/>
        <w:rPr>
          <w:rFonts w:hint="default" w:ascii="Times New Roman" w:hAnsi="Times New Roman" w:eastAsia="仿宋_GB2312" w:cs="Times New Roman"/>
          <w:color w:val="222222"/>
          <w:spacing w:val="22"/>
          <w:sz w:val="31"/>
          <w:szCs w:val="31"/>
          <w:lang w:eastAsia="zh-CN"/>
        </w:rPr>
      </w:pPr>
      <w:r>
        <w:rPr>
          <w:rFonts w:hint="default" w:ascii="Times New Roman" w:hAnsi="Times New Roman" w:eastAsia="仿宋_GB2312" w:cs="Times New Roman"/>
          <w:color w:val="222222"/>
          <w:spacing w:val="22"/>
          <w:sz w:val="31"/>
          <w:szCs w:val="31"/>
          <w:lang w:val="en-US" w:eastAsia="zh-CN"/>
        </w:rPr>
        <w:t>5、</w:t>
      </w:r>
      <w:r>
        <w:rPr>
          <w:rFonts w:hint="default" w:ascii="Times New Roman" w:hAnsi="Times New Roman" w:eastAsia="仿宋_GB2312" w:cs="Times New Roman"/>
          <w:color w:val="222222"/>
          <w:spacing w:val="22"/>
          <w:sz w:val="31"/>
          <w:szCs w:val="31"/>
          <w:lang w:eastAsia="zh-CN"/>
        </w:rPr>
        <w:t>《自然资源部关于印发城镇开发边界管理办法（试行）的通知》（自然资</w:t>
      </w:r>
      <w:r>
        <w:rPr>
          <w:rFonts w:hint="default" w:ascii="Times New Roman" w:hAnsi="Times New Roman" w:eastAsia="仿宋_GB2312" w:cs="Times New Roman"/>
          <w:color w:val="222222"/>
          <w:spacing w:val="22"/>
          <w:sz w:val="31"/>
          <w:szCs w:val="31"/>
          <w:lang w:val="en-US" w:eastAsia="zh-CN"/>
        </w:rPr>
        <w:t>规</w:t>
      </w:r>
      <w:r>
        <w:rPr>
          <w:rFonts w:hint="default" w:ascii="Times New Roman" w:hAnsi="Times New Roman" w:eastAsia="仿宋_GB2312" w:cs="Times New Roman"/>
          <w:color w:val="222222"/>
          <w:spacing w:val="22"/>
          <w:sz w:val="31"/>
          <w:szCs w:val="31"/>
          <w:lang w:eastAsia="zh-CN"/>
        </w:rPr>
        <w:t>〔202</w:t>
      </w:r>
      <w:r>
        <w:rPr>
          <w:rFonts w:hint="default" w:ascii="Times New Roman" w:hAnsi="Times New Roman" w:eastAsia="仿宋_GB2312" w:cs="Times New Roman"/>
          <w:color w:val="222222"/>
          <w:spacing w:val="22"/>
          <w:sz w:val="31"/>
          <w:szCs w:val="31"/>
          <w:lang w:val="en-US" w:eastAsia="zh-CN"/>
        </w:rPr>
        <w:t>6</w:t>
      </w:r>
      <w:r>
        <w:rPr>
          <w:rFonts w:hint="default" w:ascii="Times New Roman" w:hAnsi="Times New Roman" w:eastAsia="仿宋_GB2312" w:cs="Times New Roman"/>
          <w:color w:val="222222"/>
          <w:spacing w:val="22"/>
          <w:sz w:val="31"/>
          <w:szCs w:val="31"/>
          <w:lang w:eastAsia="zh-CN"/>
        </w:rPr>
        <w:t>〕1号）；</w:t>
      </w:r>
    </w:p>
    <w:p w14:paraId="7055E39E">
      <w:pPr>
        <w:spacing w:before="101" w:line="355" w:lineRule="auto"/>
        <w:ind w:left="31" w:right="11" w:firstLine="640"/>
        <w:jc w:val="both"/>
        <w:rPr>
          <w:rFonts w:hint="default" w:ascii="Times New Roman" w:hAnsi="Times New Roman" w:eastAsia="仿宋_GB2312" w:cs="Times New Roman"/>
          <w:color w:val="222222"/>
          <w:spacing w:val="22"/>
          <w:sz w:val="31"/>
          <w:szCs w:val="31"/>
          <w:lang w:eastAsia="zh-CN"/>
        </w:rPr>
      </w:pPr>
      <w:r>
        <w:rPr>
          <w:rFonts w:hint="default" w:ascii="Times New Roman" w:hAnsi="Times New Roman" w:eastAsia="仿宋_GB2312" w:cs="Times New Roman"/>
          <w:color w:val="222222"/>
          <w:spacing w:val="22"/>
          <w:sz w:val="31"/>
          <w:szCs w:val="31"/>
          <w:lang w:val="en-US" w:eastAsia="zh-CN"/>
        </w:rPr>
        <w:t>6、</w:t>
      </w:r>
      <w:r>
        <w:rPr>
          <w:rFonts w:hint="default" w:ascii="Times New Roman" w:hAnsi="Times New Roman" w:eastAsia="仿宋_GB2312" w:cs="Times New Roman"/>
          <w:color w:val="222222"/>
          <w:spacing w:val="22"/>
          <w:sz w:val="31"/>
          <w:szCs w:val="31"/>
          <w:lang w:eastAsia="zh-CN"/>
        </w:rPr>
        <w:t>《自然资源部办公厅关于做好城镇开发边界管理成果数据汇交更新的函》（自然资办函〔2023〕2319号）；</w:t>
      </w:r>
    </w:p>
    <w:p w14:paraId="78C8BEE7">
      <w:pPr>
        <w:spacing w:before="101" w:line="355" w:lineRule="auto"/>
        <w:ind w:left="31" w:right="11" w:firstLine="640"/>
        <w:jc w:val="both"/>
        <w:rPr>
          <w:rFonts w:hint="default" w:ascii="Times New Roman" w:hAnsi="Times New Roman" w:eastAsia="仿宋_GB2312" w:cs="Times New Roman"/>
          <w:color w:val="222222"/>
          <w:spacing w:val="22"/>
          <w:sz w:val="31"/>
          <w:szCs w:val="31"/>
          <w:lang w:eastAsia="zh-CN"/>
        </w:rPr>
      </w:pPr>
      <w:r>
        <w:rPr>
          <w:rFonts w:hint="default" w:ascii="Times New Roman" w:hAnsi="Times New Roman" w:eastAsia="仿宋_GB2312" w:cs="Times New Roman"/>
          <w:color w:val="222222"/>
          <w:spacing w:val="22"/>
          <w:sz w:val="31"/>
          <w:szCs w:val="31"/>
          <w:lang w:val="en-US" w:eastAsia="zh-CN"/>
        </w:rPr>
        <w:t>7、</w:t>
      </w:r>
      <w:r>
        <w:rPr>
          <w:rFonts w:hint="default" w:ascii="Times New Roman" w:hAnsi="Times New Roman" w:eastAsia="仿宋_GB2312" w:cs="Times New Roman"/>
          <w:color w:val="222222"/>
          <w:spacing w:val="22"/>
          <w:sz w:val="31"/>
          <w:szCs w:val="31"/>
          <w:lang w:eastAsia="zh-CN"/>
        </w:rPr>
        <w:t>《全国“三区三线”划定规则》（自然资函〔2022〕47号）；</w:t>
      </w:r>
    </w:p>
    <w:p w14:paraId="64C949D6">
      <w:pPr>
        <w:spacing w:before="101" w:line="355" w:lineRule="auto"/>
        <w:ind w:left="31" w:right="11" w:firstLine="640"/>
        <w:jc w:val="both"/>
        <w:rPr>
          <w:rFonts w:hint="default" w:ascii="Times New Roman" w:hAnsi="Times New Roman" w:eastAsia="仿宋_GB2312" w:cs="Times New Roman"/>
          <w:color w:val="222222"/>
          <w:spacing w:val="22"/>
          <w:sz w:val="31"/>
          <w:szCs w:val="31"/>
          <w:lang w:eastAsia="zh-CN"/>
        </w:rPr>
      </w:pPr>
      <w:r>
        <w:rPr>
          <w:rFonts w:hint="default" w:ascii="Times New Roman" w:hAnsi="Times New Roman" w:eastAsia="仿宋_GB2312" w:cs="Times New Roman"/>
          <w:color w:val="222222"/>
          <w:spacing w:val="22"/>
          <w:sz w:val="31"/>
          <w:szCs w:val="31"/>
          <w:lang w:val="en-US" w:eastAsia="zh-CN"/>
        </w:rPr>
        <w:t>8、</w:t>
      </w:r>
      <w:r>
        <w:rPr>
          <w:rFonts w:hint="default" w:ascii="Times New Roman" w:hAnsi="Times New Roman" w:eastAsia="仿宋_GB2312" w:cs="Times New Roman"/>
          <w:color w:val="222222"/>
          <w:spacing w:val="22"/>
          <w:sz w:val="31"/>
          <w:szCs w:val="31"/>
          <w:lang w:eastAsia="zh-CN"/>
        </w:rPr>
        <w:t>自然资源部办公厅《关于规范和统一市县国土空间规划现状基数的通知》（自然资办函〔2021〕907号）；</w:t>
      </w:r>
    </w:p>
    <w:p w14:paraId="2673F649">
      <w:pPr>
        <w:spacing w:before="101" w:line="355" w:lineRule="auto"/>
        <w:ind w:left="31" w:right="11" w:firstLine="640"/>
        <w:jc w:val="both"/>
        <w:rPr>
          <w:rFonts w:hint="default" w:ascii="Times New Roman" w:hAnsi="Times New Roman" w:eastAsia="仿宋_GB2312" w:cs="Times New Roman"/>
          <w:color w:val="222222"/>
          <w:spacing w:val="22"/>
          <w:sz w:val="31"/>
          <w:szCs w:val="31"/>
          <w:lang w:eastAsia="zh-CN"/>
        </w:rPr>
      </w:pPr>
      <w:r>
        <w:rPr>
          <w:rFonts w:hint="default" w:ascii="Times New Roman" w:hAnsi="Times New Roman" w:eastAsia="仿宋_GB2312" w:cs="Times New Roman"/>
          <w:color w:val="222222"/>
          <w:spacing w:val="22"/>
          <w:sz w:val="31"/>
          <w:szCs w:val="31"/>
          <w:lang w:val="en-US" w:eastAsia="zh-CN"/>
        </w:rPr>
        <w:t>9、</w:t>
      </w:r>
      <w:r>
        <w:rPr>
          <w:rFonts w:hint="default" w:ascii="Times New Roman" w:hAnsi="Times New Roman" w:eastAsia="仿宋_GB2312" w:cs="Times New Roman"/>
          <w:color w:val="222222"/>
          <w:spacing w:val="22"/>
          <w:sz w:val="31"/>
          <w:szCs w:val="31"/>
          <w:lang w:eastAsia="zh-CN"/>
        </w:rPr>
        <w:t>《国土空间调查、规划、用途管制用地用海分类指南》（自然资发〔2023〕234号）；</w:t>
      </w:r>
    </w:p>
    <w:p w14:paraId="123C885B">
      <w:pPr>
        <w:spacing w:before="101" w:line="355" w:lineRule="auto"/>
        <w:ind w:left="31" w:right="11" w:firstLine="640"/>
        <w:jc w:val="both"/>
        <w:rPr>
          <w:rFonts w:hint="default" w:ascii="Times New Roman" w:hAnsi="Times New Roman" w:eastAsia="仿宋_GB2312" w:cs="Times New Roman"/>
          <w:color w:val="222222"/>
          <w:spacing w:val="22"/>
          <w:sz w:val="31"/>
          <w:szCs w:val="31"/>
          <w:lang w:eastAsia="zh-CN"/>
        </w:rPr>
      </w:pPr>
      <w:r>
        <w:rPr>
          <w:rFonts w:hint="default" w:ascii="Times New Roman" w:hAnsi="Times New Roman" w:eastAsia="仿宋_GB2312" w:cs="Times New Roman"/>
          <w:color w:val="222222"/>
          <w:spacing w:val="22"/>
          <w:sz w:val="31"/>
          <w:szCs w:val="31"/>
          <w:lang w:val="en-US" w:eastAsia="zh-CN"/>
        </w:rPr>
        <w:t>10</w:t>
      </w:r>
      <w:r>
        <w:rPr>
          <w:rFonts w:hint="default" w:ascii="Times New Roman" w:hAnsi="Times New Roman" w:eastAsia="仿宋_GB2312" w:cs="Times New Roman"/>
          <w:color w:val="222222"/>
          <w:spacing w:val="22"/>
          <w:sz w:val="31"/>
          <w:szCs w:val="31"/>
          <w:lang w:eastAsia="zh-CN"/>
        </w:rPr>
        <w:t>《市级国土空间总体规划编制指南（试行）》；</w:t>
      </w:r>
    </w:p>
    <w:p w14:paraId="4721EBA0">
      <w:pPr>
        <w:spacing w:before="101" w:line="355" w:lineRule="auto"/>
        <w:ind w:left="31" w:right="11" w:firstLine="640"/>
        <w:jc w:val="both"/>
        <w:rPr>
          <w:rFonts w:hint="default" w:ascii="Times New Roman" w:hAnsi="Times New Roman" w:eastAsia="仿宋_GB2312" w:cs="Times New Roman"/>
          <w:color w:val="222222"/>
          <w:spacing w:val="22"/>
          <w:sz w:val="31"/>
          <w:szCs w:val="31"/>
          <w:lang w:eastAsia="zh-CN"/>
        </w:rPr>
      </w:pPr>
      <w:r>
        <w:rPr>
          <w:rFonts w:hint="default" w:ascii="Times New Roman" w:hAnsi="Times New Roman" w:eastAsia="仿宋_GB2312" w:cs="Times New Roman"/>
          <w:color w:val="222222"/>
          <w:spacing w:val="22"/>
          <w:sz w:val="31"/>
          <w:szCs w:val="31"/>
          <w:lang w:val="en-US" w:eastAsia="zh-CN"/>
        </w:rPr>
        <w:t>11</w:t>
      </w:r>
      <w:r>
        <w:rPr>
          <w:rFonts w:hint="default" w:ascii="Times New Roman" w:hAnsi="Times New Roman" w:eastAsia="仿宋_GB2312" w:cs="Times New Roman"/>
          <w:color w:val="222222"/>
          <w:spacing w:val="22"/>
          <w:sz w:val="31"/>
          <w:szCs w:val="31"/>
          <w:lang w:eastAsia="zh-CN"/>
        </w:rPr>
        <w:t>《黑龙江省县级国土空间总体规划编制指南（试行）》；</w:t>
      </w:r>
    </w:p>
    <w:p w14:paraId="79CD1CAA">
      <w:pPr>
        <w:spacing w:before="101" w:line="355" w:lineRule="auto"/>
        <w:ind w:left="31" w:right="11" w:firstLine="640"/>
        <w:jc w:val="both"/>
        <w:rPr>
          <w:rFonts w:hint="default" w:ascii="Times New Roman" w:hAnsi="Times New Roman" w:eastAsia="仿宋_GB2312" w:cs="Times New Roman"/>
          <w:color w:val="222222"/>
          <w:spacing w:val="22"/>
          <w:sz w:val="31"/>
          <w:szCs w:val="31"/>
          <w:lang w:eastAsia="zh-CN"/>
        </w:rPr>
      </w:pPr>
      <w:r>
        <w:rPr>
          <w:rFonts w:hint="default" w:ascii="Times New Roman" w:hAnsi="Times New Roman" w:eastAsia="仿宋_GB2312" w:cs="Times New Roman"/>
          <w:color w:val="222222"/>
          <w:spacing w:val="22"/>
          <w:sz w:val="31"/>
          <w:szCs w:val="31"/>
          <w:lang w:val="en-US" w:eastAsia="zh-CN"/>
        </w:rPr>
        <w:t>12</w:t>
      </w:r>
      <w:r>
        <w:rPr>
          <w:rFonts w:hint="default" w:ascii="Times New Roman" w:hAnsi="Times New Roman" w:eastAsia="仿宋_GB2312" w:cs="Times New Roman"/>
          <w:color w:val="222222"/>
          <w:spacing w:val="22"/>
          <w:sz w:val="31"/>
          <w:szCs w:val="31"/>
          <w:lang w:eastAsia="zh-CN"/>
        </w:rPr>
        <w:t>《集贤县国土空间总体规划（2021—2035年）》；</w:t>
      </w:r>
    </w:p>
    <w:p w14:paraId="6BE36A20">
      <w:pPr>
        <w:spacing w:before="101" w:line="355" w:lineRule="auto"/>
        <w:ind w:left="31" w:right="11" w:firstLine="640"/>
        <w:jc w:val="both"/>
        <w:rPr>
          <w:rFonts w:hint="default" w:ascii="Times New Roman" w:hAnsi="Times New Roman" w:eastAsia="仿宋_GB2312" w:cs="Times New Roman"/>
          <w:color w:val="222222"/>
          <w:spacing w:val="22"/>
          <w:sz w:val="31"/>
          <w:szCs w:val="31"/>
          <w:lang w:eastAsia="zh-CN"/>
        </w:rPr>
      </w:pPr>
      <w:r>
        <w:rPr>
          <w:rFonts w:hint="default" w:ascii="Times New Roman" w:hAnsi="Times New Roman" w:eastAsia="仿宋_GB2312" w:cs="Times New Roman"/>
          <w:color w:val="222222"/>
          <w:spacing w:val="22"/>
          <w:sz w:val="31"/>
          <w:szCs w:val="31"/>
          <w:lang w:val="en-US" w:eastAsia="zh-CN"/>
        </w:rPr>
        <w:t>13、</w:t>
      </w:r>
      <w:r>
        <w:rPr>
          <w:rFonts w:hint="default" w:ascii="Times New Roman" w:hAnsi="Times New Roman" w:eastAsia="仿宋_GB2312" w:cs="Times New Roman"/>
          <w:color w:val="222222"/>
          <w:spacing w:val="22"/>
          <w:sz w:val="31"/>
          <w:szCs w:val="31"/>
          <w:lang w:eastAsia="zh-CN"/>
        </w:rPr>
        <w:t>《中华人民共和国城乡规划法》</w:t>
      </w:r>
    </w:p>
    <w:p w14:paraId="1D98B933">
      <w:pPr>
        <w:spacing w:before="101" w:line="355" w:lineRule="auto"/>
        <w:ind w:left="31" w:right="11" w:firstLine="640"/>
        <w:jc w:val="both"/>
        <w:rPr>
          <w:rFonts w:hint="default" w:ascii="Times New Roman" w:hAnsi="Times New Roman" w:eastAsia="仿宋_GB2312" w:cs="Times New Roman"/>
          <w:color w:val="222222"/>
          <w:spacing w:val="22"/>
          <w:sz w:val="31"/>
          <w:szCs w:val="31"/>
          <w:lang w:eastAsia="zh-CN"/>
        </w:rPr>
      </w:pPr>
      <w:r>
        <w:rPr>
          <w:rFonts w:hint="default" w:ascii="Times New Roman" w:hAnsi="Times New Roman" w:eastAsia="仿宋_GB2312" w:cs="Times New Roman"/>
          <w:color w:val="222222"/>
          <w:spacing w:val="22"/>
          <w:sz w:val="31"/>
          <w:szCs w:val="31"/>
          <w:lang w:val="en-US" w:eastAsia="zh-CN"/>
        </w:rPr>
        <w:t>14、</w:t>
      </w:r>
      <w:r>
        <w:rPr>
          <w:rFonts w:hint="default" w:ascii="Times New Roman" w:hAnsi="Times New Roman" w:eastAsia="仿宋_GB2312" w:cs="Times New Roman"/>
          <w:color w:val="222222"/>
          <w:spacing w:val="22"/>
          <w:sz w:val="31"/>
          <w:szCs w:val="31"/>
          <w:lang w:eastAsia="zh-CN"/>
        </w:rPr>
        <w:t>《城市绿线管理办法》‌</w:t>
      </w:r>
    </w:p>
    <w:p w14:paraId="219DF9F6">
      <w:pPr>
        <w:spacing w:before="101" w:line="355" w:lineRule="auto"/>
        <w:ind w:left="31" w:right="11" w:firstLine="640"/>
        <w:jc w:val="both"/>
        <w:rPr>
          <w:rFonts w:hint="default" w:ascii="Times New Roman" w:hAnsi="Times New Roman" w:eastAsia="仿宋_GB2312" w:cs="Times New Roman"/>
          <w:color w:val="222222"/>
          <w:spacing w:val="22"/>
          <w:sz w:val="31"/>
          <w:szCs w:val="31"/>
          <w:lang w:eastAsia="zh-CN"/>
        </w:rPr>
      </w:pPr>
      <w:r>
        <w:rPr>
          <w:rFonts w:hint="default" w:ascii="Times New Roman" w:hAnsi="Times New Roman" w:eastAsia="仿宋_GB2312" w:cs="Times New Roman"/>
          <w:color w:val="222222"/>
          <w:spacing w:val="22"/>
          <w:sz w:val="31"/>
          <w:szCs w:val="31"/>
          <w:lang w:val="en-US" w:eastAsia="zh-CN"/>
        </w:rPr>
        <w:t>15、</w:t>
      </w:r>
      <w:r>
        <w:rPr>
          <w:rFonts w:hint="default" w:ascii="Times New Roman" w:hAnsi="Times New Roman" w:eastAsia="仿宋_GB2312" w:cs="Times New Roman"/>
          <w:color w:val="222222"/>
          <w:spacing w:val="22"/>
          <w:sz w:val="31"/>
          <w:szCs w:val="31"/>
          <w:lang w:eastAsia="zh-CN"/>
        </w:rPr>
        <w:t>《城市紫线管理办法》‌</w:t>
      </w:r>
    </w:p>
    <w:p w14:paraId="1F90DBDA">
      <w:pPr>
        <w:spacing w:before="101" w:line="355" w:lineRule="auto"/>
        <w:ind w:left="31" w:right="11" w:firstLine="640"/>
        <w:jc w:val="both"/>
        <w:rPr>
          <w:rFonts w:hint="default" w:ascii="Times New Roman" w:hAnsi="Times New Roman" w:eastAsia="仿宋_GB2312" w:cs="Times New Roman"/>
          <w:color w:val="222222"/>
          <w:spacing w:val="22"/>
          <w:sz w:val="31"/>
          <w:szCs w:val="31"/>
          <w:lang w:val="en-US" w:eastAsia="zh-CN"/>
        </w:rPr>
      </w:pPr>
      <w:r>
        <w:rPr>
          <w:rFonts w:hint="default" w:ascii="Times New Roman" w:hAnsi="Times New Roman" w:eastAsia="仿宋_GB2312" w:cs="Times New Roman"/>
          <w:color w:val="222222"/>
          <w:spacing w:val="22"/>
          <w:sz w:val="31"/>
          <w:szCs w:val="31"/>
          <w:lang w:val="en-US" w:eastAsia="zh-CN"/>
        </w:rPr>
        <w:t>16、《城市蓝线管理办法》</w:t>
      </w:r>
    </w:p>
    <w:p w14:paraId="2AD9F730">
      <w:pPr>
        <w:spacing w:before="101" w:line="355" w:lineRule="auto"/>
        <w:ind w:left="31" w:right="11" w:firstLine="640"/>
        <w:jc w:val="both"/>
        <w:rPr>
          <w:rFonts w:hint="default" w:ascii="Times New Roman" w:hAnsi="Times New Roman" w:eastAsia="仿宋_GB2312" w:cs="Times New Roman"/>
          <w:color w:val="222222"/>
          <w:spacing w:val="22"/>
          <w:sz w:val="31"/>
          <w:szCs w:val="31"/>
          <w:lang w:val="en-US" w:eastAsia="zh-CN"/>
        </w:rPr>
      </w:pPr>
      <w:r>
        <w:rPr>
          <w:rFonts w:hint="default" w:ascii="Times New Roman" w:hAnsi="Times New Roman" w:eastAsia="仿宋_GB2312" w:cs="Times New Roman"/>
          <w:color w:val="222222"/>
          <w:spacing w:val="22"/>
          <w:sz w:val="31"/>
          <w:szCs w:val="31"/>
          <w:lang w:val="en-US" w:eastAsia="zh-CN"/>
        </w:rPr>
        <w:t>17、《城市黄线管理办法》</w:t>
      </w:r>
    </w:p>
    <w:p w14:paraId="132DF374">
      <w:pPr>
        <w:spacing w:before="101" w:line="355" w:lineRule="auto"/>
        <w:ind w:left="31" w:right="11" w:firstLine="640"/>
        <w:jc w:val="both"/>
        <w:rPr>
          <w:rFonts w:hint="default" w:ascii="Times New Roman" w:hAnsi="Times New Roman" w:eastAsia="仿宋_GB2312" w:cs="Times New Roman"/>
          <w:color w:val="222222"/>
          <w:spacing w:val="22"/>
          <w:sz w:val="31"/>
          <w:szCs w:val="31"/>
        </w:rPr>
      </w:pPr>
      <w:r>
        <w:rPr>
          <w:rFonts w:hint="default" w:ascii="Times New Roman" w:hAnsi="Times New Roman" w:eastAsia="仿宋_GB2312" w:cs="Times New Roman"/>
          <w:color w:val="222222"/>
          <w:spacing w:val="22"/>
          <w:sz w:val="31"/>
          <w:szCs w:val="31"/>
          <w:lang w:val="en-US" w:eastAsia="zh-CN"/>
        </w:rPr>
        <w:t>18、其他法律法规、政策文件和标准规范。</w:t>
      </w:r>
    </w:p>
    <w:p w14:paraId="199D2267">
      <w:pPr>
        <w:pStyle w:val="2"/>
        <w:keepNext w:val="0"/>
        <w:keepLines w:val="0"/>
        <w:pageBreakBefore w:val="0"/>
        <w:widowControl/>
        <w:kinsoku w:val="0"/>
        <w:wordWrap/>
        <w:overflowPunct/>
        <w:topLinePunct w:val="0"/>
        <w:autoSpaceDE w:val="0"/>
        <w:autoSpaceDN w:val="0"/>
        <w:bidi w:val="0"/>
        <w:adjustRightInd w:val="0"/>
        <w:snapToGrid w:val="0"/>
        <w:spacing w:before="0" w:beforeLines="100" w:beforeAutospacing="0" w:after="0" w:afterLines="100" w:afterAutospacing="0" w:line="560" w:lineRule="exact"/>
        <w:ind w:firstLine="640" w:firstLineChars="200"/>
        <w:textAlignment w:val="baseline"/>
        <w:rPr>
          <w:rFonts w:hint="default" w:ascii="Times New Roman" w:hAnsi="Times New Roman" w:eastAsia="黑体" w:cs="Times New Roman"/>
          <w:b w:val="0"/>
          <w:bCs w:val="0"/>
          <w:color w:val="000000"/>
          <w:sz w:val="32"/>
          <w:szCs w:val="32"/>
          <w:lang w:eastAsia="zh-CN"/>
        </w:rPr>
      </w:pPr>
      <w:r>
        <w:rPr>
          <w:rFonts w:hint="default" w:ascii="Times New Roman" w:hAnsi="Times New Roman" w:eastAsia="黑体" w:cs="Times New Roman"/>
          <w:b w:val="0"/>
          <w:bCs w:val="0"/>
          <w:color w:val="000000"/>
          <w:sz w:val="32"/>
          <w:szCs w:val="32"/>
          <w:lang w:eastAsia="zh-CN"/>
        </w:rPr>
        <w:t>五、指导原则与规划目标</w:t>
      </w:r>
    </w:p>
    <w:p w14:paraId="4D07B4B8">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坚持刚性约束、底线思维</w:t>
      </w:r>
      <w:r>
        <w:rPr>
          <w:rFonts w:hint="default" w:ascii="Times New Roman" w:hAnsi="Times New Roman" w:eastAsia="仿宋_GB2312" w:cs="Times New Roman"/>
          <w:color w:val="auto"/>
          <w:sz w:val="32"/>
          <w:szCs w:val="32"/>
        </w:rPr>
        <w:t>，严格守住耕地保护、生态保护红线、城镇开发边界三条底线，确保耕地保有量、永久基本农田面积、生态保护红线面积不减少、质量有提升，城镇开发边界不突破；</w:t>
      </w:r>
    </w:p>
    <w:p w14:paraId="1AEE0F90">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坚持问题导向、精准优化</w:t>
      </w:r>
      <w:r>
        <w:rPr>
          <w:rFonts w:hint="default" w:ascii="Times New Roman" w:hAnsi="Times New Roman" w:eastAsia="仿宋_GB2312" w:cs="Times New Roman"/>
          <w:color w:val="auto"/>
          <w:sz w:val="32"/>
          <w:szCs w:val="32"/>
        </w:rPr>
        <w:t>，聚焦规划实施中的突出问题，针对性优化空间布局和指标分配，不改变规划总体格局和核心定位；</w:t>
      </w:r>
    </w:p>
    <w:p w14:paraId="710CAA57">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坚持上下衔接、统筹协调</w:t>
      </w:r>
      <w:r>
        <w:rPr>
          <w:rFonts w:hint="default" w:ascii="Times New Roman" w:hAnsi="Times New Roman" w:eastAsia="仿宋_GB2312" w:cs="Times New Roman"/>
          <w:color w:val="auto"/>
          <w:sz w:val="32"/>
          <w:szCs w:val="32"/>
        </w:rPr>
        <w:t>，确保维护方案与国家、省、市各级规划，以及各专项规划、乡镇规划精准衔接，形成规划合力；</w:t>
      </w:r>
    </w:p>
    <w:p w14:paraId="5235188D">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坚持公开透明、公众参与</w:t>
      </w:r>
      <w:r>
        <w:rPr>
          <w:rFonts w:hint="default" w:ascii="Times New Roman" w:hAnsi="Times New Roman" w:eastAsia="仿宋_GB2312" w:cs="Times New Roman"/>
          <w:color w:val="auto"/>
          <w:sz w:val="32"/>
          <w:szCs w:val="32"/>
        </w:rPr>
        <w:t>，通过前期调研、专家论证、公众意见征求等环节，广泛吸纳各方意见，提高方案科学性和认可度；</w:t>
      </w:r>
    </w:p>
    <w:p w14:paraId="03FD3CF0">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3" w:firstLineChars="200"/>
        <w:textAlignment w:val="auto"/>
        <w:rPr>
          <w:rFonts w:hint="default" w:ascii="Times New Roman" w:hAnsi="Times New Roman" w:eastAsia="仿宋" w:cs="Times New Roman"/>
          <w:sz w:val="31"/>
          <w:szCs w:val="31"/>
        </w:rPr>
      </w:pPr>
      <w:r>
        <w:rPr>
          <w:rFonts w:hint="default" w:ascii="Times New Roman" w:hAnsi="Times New Roman" w:eastAsia="仿宋_GB2312" w:cs="Times New Roman"/>
          <w:b/>
          <w:bCs/>
          <w:color w:val="auto"/>
          <w:sz w:val="32"/>
          <w:szCs w:val="32"/>
        </w:rPr>
        <w:t>坚持节约集约、高效利用</w:t>
      </w:r>
      <w:r>
        <w:rPr>
          <w:rFonts w:hint="default" w:ascii="Times New Roman" w:hAnsi="Times New Roman" w:eastAsia="仿宋_GB2312" w:cs="Times New Roman"/>
          <w:color w:val="auto"/>
          <w:sz w:val="32"/>
          <w:szCs w:val="32"/>
        </w:rPr>
        <w:t>，优化国土空间利用结构，提升土地利用效率，推动城镇集聚发展、产业绿色升级。</w:t>
      </w:r>
    </w:p>
    <w:p w14:paraId="2DCF9CA3">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规划目标：</w:t>
      </w:r>
      <w:r>
        <w:rPr>
          <w:rFonts w:hint="default" w:ascii="Times New Roman" w:hAnsi="Times New Roman" w:eastAsia="仿宋_GB2312" w:cs="Times New Roman"/>
          <w:color w:val="auto"/>
          <w:sz w:val="32"/>
          <w:szCs w:val="32"/>
        </w:rPr>
        <w:t>旨在紧密对接“十五五”战略以保障发展空间、系统优化国土空间格局以提升资源效能、着力化解既有矛盾并增强空间韧性、全面夯实“一张图”数字化底板以提升智慧治理能力，从而构建一个高质量发展支撑有力、安全韧性持续增强、治理现代化水平显著提升的国土空间。</w:t>
      </w:r>
    </w:p>
    <w:p w14:paraId="70BE3B54">
      <w:pPr>
        <w:pStyle w:val="2"/>
        <w:keepNext w:val="0"/>
        <w:keepLines w:val="0"/>
        <w:pageBreakBefore w:val="0"/>
        <w:widowControl/>
        <w:kinsoku w:val="0"/>
        <w:wordWrap/>
        <w:overflowPunct/>
        <w:topLinePunct w:val="0"/>
        <w:autoSpaceDE w:val="0"/>
        <w:autoSpaceDN w:val="0"/>
        <w:bidi w:val="0"/>
        <w:adjustRightInd w:val="0"/>
        <w:snapToGrid w:val="0"/>
        <w:spacing w:before="0" w:beforeLines="100" w:beforeAutospacing="0" w:after="0" w:afterLines="100" w:afterAutospacing="0" w:line="560" w:lineRule="exact"/>
        <w:ind w:firstLine="640" w:firstLineChars="200"/>
        <w:textAlignment w:val="baseline"/>
        <w:rPr>
          <w:rFonts w:hint="default" w:ascii="Times New Roman" w:hAnsi="Times New Roman" w:eastAsia="黑体" w:cs="Times New Roman"/>
          <w:b w:val="0"/>
          <w:bCs w:val="0"/>
          <w:color w:val="000000"/>
          <w:sz w:val="32"/>
          <w:szCs w:val="32"/>
          <w:lang w:eastAsia="zh-CN"/>
        </w:rPr>
      </w:pPr>
      <w:r>
        <w:rPr>
          <w:rFonts w:hint="default" w:ascii="Times New Roman" w:hAnsi="Times New Roman" w:eastAsia="黑体" w:cs="Times New Roman"/>
          <w:b w:val="0"/>
          <w:bCs w:val="0"/>
          <w:color w:val="000000"/>
          <w:sz w:val="32"/>
          <w:szCs w:val="32"/>
          <w:lang w:eastAsia="zh-CN"/>
        </w:rPr>
        <w:t>六</w:t>
      </w:r>
      <w:r>
        <w:rPr>
          <w:rFonts w:hint="default" w:ascii="Times New Roman" w:hAnsi="Times New Roman" w:eastAsia="黑体" w:cs="Times New Roman"/>
          <w:b w:val="0"/>
          <w:bCs w:val="0"/>
          <w:color w:val="000000"/>
          <w:sz w:val="32"/>
          <w:szCs w:val="32"/>
        </w:rPr>
        <w:t>、</w:t>
      </w:r>
      <w:r>
        <w:rPr>
          <w:rFonts w:hint="default" w:ascii="Times New Roman" w:hAnsi="Times New Roman" w:eastAsia="黑体" w:cs="Times New Roman"/>
          <w:b w:val="0"/>
          <w:bCs w:val="0"/>
          <w:color w:val="000000"/>
          <w:sz w:val="32"/>
          <w:szCs w:val="32"/>
          <w:lang w:eastAsia="zh-CN"/>
        </w:rPr>
        <w:t>核心维护内容</w:t>
      </w:r>
    </w:p>
    <w:p w14:paraId="5F3BD113">
      <w:pPr>
        <w:pStyle w:val="2"/>
        <w:keepNext w:val="0"/>
        <w:keepLines w:val="0"/>
        <w:pageBreakBefore w:val="0"/>
        <w:widowControl/>
        <w:kinsoku w:val="0"/>
        <w:wordWrap/>
        <w:overflowPunct/>
        <w:topLinePunct w:val="0"/>
        <w:autoSpaceDE w:val="0"/>
        <w:autoSpaceDN w:val="0"/>
        <w:bidi w:val="0"/>
        <w:adjustRightInd w:val="0"/>
        <w:snapToGrid w:val="0"/>
        <w:spacing w:before="0" w:beforeLines="100" w:beforeAutospacing="0" w:after="0" w:afterLines="100" w:afterAutospacing="0" w:line="560" w:lineRule="exact"/>
        <w:ind w:firstLine="640" w:firstLineChars="200"/>
        <w:textAlignment w:val="baseline"/>
        <w:rPr>
          <w:rFonts w:hint="default" w:ascii="Times New Roman" w:hAnsi="Times New Roman" w:eastAsia="仿宋_GB2312" w:cs="Times New Roman"/>
          <w:b/>
          <w:bCs/>
          <w:color w:val="222222"/>
          <w:spacing w:val="8"/>
          <w:position w:val="2"/>
          <w:sz w:val="31"/>
          <w:szCs w:val="31"/>
        </w:rPr>
      </w:pPr>
      <w:r>
        <w:rPr>
          <w:rFonts w:hint="default" w:ascii="Times New Roman" w:hAnsi="Times New Roman" w:eastAsia="黑体" w:cs="Times New Roman"/>
          <w:b w:val="0"/>
          <w:bCs w:val="0"/>
          <w:color w:val="000000"/>
          <w:sz w:val="32"/>
          <w:szCs w:val="32"/>
          <w:lang w:eastAsia="zh-CN"/>
        </w:rPr>
        <w:t>（一）</w:t>
      </w:r>
      <w:r>
        <w:rPr>
          <w:rFonts w:hint="default" w:ascii="Times New Roman" w:hAnsi="Times New Roman" w:eastAsia="黑体" w:cs="Times New Roman"/>
          <w:b w:val="0"/>
          <w:bCs w:val="0"/>
          <w:color w:val="000000"/>
          <w:sz w:val="32"/>
          <w:szCs w:val="32"/>
        </w:rPr>
        <w:t>三条控制线</w:t>
      </w:r>
    </w:p>
    <w:p w14:paraId="2269533C">
      <w:pPr>
        <w:pStyle w:val="3"/>
        <w:keepNext w:val="0"/>
        <w:keepLines w:val="0"/>
        <w:pageBreakBefore w:val="0"/>
        <w:widowControl/>
        <w:kinsoku w:val="0"/>
        <w:wordWrap/>
        <w:overflowPunct/>
        <w:topLinePunct w:val="0"/>
        <w:autoSpaceDE w:val="0"/>
        <w:autoSpaceDN w:val="0"/>
        <w:bidi w:val="0"/>
        <w:adjustRightInd w:val="0"/>
        <w:snapToGrid w:val="0"/>
        <w:spacing w:before="101" w:after="0" w:afterLines="100" w:line="437" w:lineRule="exact"/>
        <w:ind w:left="692"/>
        <w:textAlignment w:val="baseline"/>
        <w:rPr>
          <w:rFonts w:hint="default" w:ascii="Times New Roman" w:hAnsi="Times New Roman" w:eastAsia="仿宋_GB2312" w:cs="Times New Roman"/>
          <w:sz w:val="31"/>
          <w:szCs w:val="31"/>
        </w:rPr>
      </w:pPr>
      <w:r>
        <w:rPr>
          <w:rFonts w:hint="default" w:ascii="Times New Roman" w:hAnsi="Times New Roman" w:eastAsia="仿宋_GB2312" w:cs="Times New Roman"/>
          <w:b/>
          <w:bCs/>
          <w:color w:val="222222"/>
          <w:spacing w:val="8"/>
          <w:position w:val="2"/>
          <w:sz w:val="31"/>
          <w:szCs w:val="31"/>
        </w:rPr>
        <w:t>1.耕地和永久基本农田</w:t>
      </w:r>
    </w:p>
    <w:p w14:paraId="62E26EF2">
      <w:pPr>
        <w:pStyle w:val="3"/>
        <w:spacing w:before="21" w:line="355" w:lineRule="auto"/>
        <w:ind w:left="34" w:right="121" w:firstLine="638"/>
        <w:rPr>
          <w:rFonts w:hint="default" w:ascii="Times New Roman" w:hAnsi="Times New Roman" w:eastAsia="仿宋_GB2312" w:cs="Times New Roman"/>
          <w:color w:val="222222"/>
          <w:spacing w:val="21"/>
          <w:sz w:val="31"/>
          <w:szCs w:val="31"/>
        </w:rPr>
      </w:pPr>
      <w:r>
        <w:rPr>
          <w:rFonts w:hint="default" w:ascii="Times New Roman" w:hAnsi="Times New Roman" w:eastAsia="仿宋_GB2312" w:cs="Times New Roman"/>
          <w:color w:val="222222"/>
          <w:spacing w:val="21"/>
          <w:sz w:val="31"/>
          <w:szCs w:val="31"/>
        </w:rPr>
        <w:t>现行《总体规划》划定耕地保护目标</w:t>
      </w:r>
      <w:r>
        <w:rPr>
          <w:rFonts w:hint="default" w:ascii="Times New Roman" w:hAnsi="Times New Roman" w:eastAsia="仿宋_GB2312" w:cs="Times New Roman"/>
          <w:color w:val="222222"/>
          <w:spacing w:val="11"/>
          <w:sz w:val="31"/>
          <w:szCs w:val="31"/>
          <w:lang w:val="en-US" w:eastAsia="zh-CN"/>
        </w:rPr>
        <w:t>154186.67</w:t>
      </w:r>
      <w:r>
        <w:rPr>
          <w:rFonts w:hint="default" w:ascii="Times New Roman" w:hAnsi="Times New Roman" w:eastAsia="仿宋_GB2312" w:cs="Times New Roman"/>
          <w:color w:val="222222"/>
          <w:spacing w:val="21"/>
          <w:sz w:val="31"/>
          <w:szCs w:val="31"/>
          <w:lang w:val="en-US" w:eastAsia="zh-CN"/>
        </w:rPr>
        <w:t>公顷</w:t>
      </w:r>
      <w:r>
        <w:rPr>
          <w:rFonts w:hint="default" w:ascii="Times New Roman" w:hAnsi="Times New Roman" w:eastAsia="仿宋_GB2312" w:cs="Times New Roman"/>
          <w:color w:val="222222"/>
          <w:spacing w:val="21"/>
          <w:sz w:val="31"/>
          <w:szCs w:val="31"/>
        </w:rPr>
        <w:t>，永久基本农田保护面积落实上级指标不低于</w:t>
      </w:r>
      <w:r>
        <w:rPr>
          <w:rFonts w:hint="default" w:ascii="Times New Roman" w:hAnsi="Times New Roman" w:eastAsia="仿宋_GB2312" w:cs="Times New Roman"/>
          <w:color w:val="222222"/>
          <w:spacing w:val="11"/>
          <w:sz w:val="31"/>
          <w:szCs w:val="31"/>
          <w:lang w:val="en-US" w:eastAsia="zh-CN"/>
        </w:rPr>
        <w:t>137680.00</w:t>
      </w:r>
      <w:r>
        <w:rPr>
          <w:rFonts w:hint="default" w:ascii="Times New Roman" w:hAnsi="Times New Roman" w:eastAsia="仿宋_GB2312" w:cs="Times New Roman"/>
          <w:color w:val="222222"/>
          <w:spacing w:val="21"/>
          <w:sz w:val="31"/>
          <w:szCs w:val="31"/>
          <w:lang w:val="en-US" w:eastAsia="zh-CN"/>
        </w:rPr>
        <w:t>公顷</w:t>
      </w:r>
      <w:r>
        <w:rPr>
          <w:rFonts w:hint="default" w:ascii="Times New Roman" w:hAnsi="Times New Roman" w:eastAsia="仿宋_GB2312" w:cs="Times New Roman"/>
          <w:color w:val="222222"/>
          <w:spacing w:val="21"/>
          <w:sz w:val="31"/>
          <w:szCs w:val="31"/>
        </w:rPr>
        <w:t>。</w:t>
      </w:r>
    </w:p>
    <w:p w14:paraId="2277A74F">
      <w:pPr>
        <w:pStyle w:val="3"/>
        <w:spacing w:before="21" w:line="355" w:lineRule="auto"/>
        <w:ind w:left="34" w:right="121" w:firstLine="638"/>
        <w:rPr>
          <w:rFonts w:hint="default" w:ascii="Times New Roman" w:hAnsi="Times New Roman" w:eastAsia="仿宋_GB2312" w:cs="Times New Roman"/>
          <w:sz w:val="31"/>
          <w:szCs w:val="31"/>
        </w:rPr>
      </w:pPr>
      <w:r>
        <w:rPr>
          <w:rFonts w:hint="default" w:ascii="Times New Roman" w:hAnsi="Times New Roman" w:eastAsia="仿宋_GB2312" w:cs="Times New Roman"/>
          <w:color w:val="222222"/>
          <w:spacing w:val="22"/>
          <w:sz w:val="31"/>
          <w:szCs w:val="31"/>
        </w:rPr>
        <w:t>本次永久基本农田动态维护按照数量不减少、质量生</w:t>
      </w:r>
      <w:r>
        <w:rPr>
          <w:rFonts w:hint="default" w:ascii="Times New Roman" w:hAnsi="Times New Roman" w:eastAsia="仿宋_GB2312" w:cs="Times New Roman"/>
          <w:color w:val="222222"/>
          <w:spacing w:val="21"/>
          <w:sz w:val="31"/>
          <w:szCs w:val="31"/>
        </w:rPr>
        <w:t>态有提升、布局更优化的原则，对各乡镇耕地和永久基本农田保护红线进行了优化。调整后不低于市级下达的耕地</w:t>
      </w:r>
      <w:r>
        <w:rPr>
          <w:rFonts w:hint="default" w:ascii="Times New Roman" w:hAnsi="Times New Roman" w:eastAsia="仿宋_GB2312" w:cs="Times New Roman"/>
          <w:color w:val="222222"/>
          <w:spacing w:val="11"/>
          <w:sz w:val="31"/>
          <w:szCs w:val="31"/>
        </w:rPr>
        <w:t>保有量</w:t>
      </w:r>
      <w:r>
        <w:rPr>
          <w:rFonts w:hint="default" w:ascii="Times New Roman" w:hAnsi="Times New Roman" w:eastAsia="仿宋_GB2312" w:cs="Times New Roman"/>
          <w:color w:val="222222"/>
          <w:spacing w:val="11"/>
          <w:sz w:val="31"/>
          <w:szCs w:val="31"/>
          <w:lang w:val="en-US" w:eastAsia="zh-CN"/>
        </w:rPr>
        <w:t>154186.67</w:t>
      </w:r>
      <w:r>
        <w:rPr>
          <w:rFonts w:hint="default" w:ascii="Times New Roman" w:hAnsi="Times New Roman" w:eastAsia="仿宋_GB2312" w:cs="Times New Roman"/>
          <w:color w:val="222222"/>
          <w:spacing w:val="21"/>
          <w:sz w:val="31"/>
          <w:szCs w:val="31"/>
          <w:lang w:val="en-US" w:eastAsia="zh-CN"/>
        </w:rPr>
        <w:t>公顷</w:t>
      </w:r>
      <w:r>
        <w:rPr>
          <w:rFonts w:hint="default" w:ascii="Times New Roman" w:hAnsi="Times New Roman" w:eastAsia="仿宋_GB2312" w:cs="Times New Roman"/>
          <w:color w:val="222222"/>
          <w:spacing w:val="11"/>
          <w:sz w:val="31"/>
          <w:szCs w:val="31"/>
        </w:rPr>
        <w:t>和永久基本农田保护任务</w:t>
      </w:r>
      <w:r>
        <w:rPr>
          <w:rFonts w:hint="default" w:ascii="Times New Roman" w:hAnsi="Times New Roman" w:eastAsia="仿宋_GB2312" w:cs="Times New Roman"/>
          <w:color w:val="222222"/>
          <w:spacing w:val="11"/>
          <w:sz w:val="31"/>
          <w:szCs w:val="31"/>
          <w:lang w:val="en-US" w:eastAsia="zh-CN"/>
        </w:rPr>
        <w:t>137680.00</w:t>
      </w:r>
      <w:r>
        <w:rPr>
          <w:rFonts w:hint="default" w:ascii="Times New Roman" w:hAnsi="Times New Roman" w:eastAsia="仿宋_GB2312" w:cs="Times New Roman"/>
          <w:color w:val="222222"/>
          <w:spacing w:val="21"/>
          <w:sz w:val="31"/>
          <w:szCs w:val="31"/>
          <w:lang w:val="en-US" w:eastAsia="zh-CN"/>
        </w:rPr>
        <w:t>公顷</w:t>
      </w:r>
      <w:r>
        <w:rPr>
          <w:rFonts w:hint="default" w:ascii="Times New Roman" w:hAnsi="Times New Roman" w:eastAsia="仿宋_GB2312" w:cs="Times New Roman"/>
          <w:color w:val="222222"/>
          <w:spacing w:val="4"/>
          <w:sz w:val="31"/>
          <w:szCs w:val="31"/>
        </w:rPr>
        <w:t>的目标。</w:t>
      </w:r>
    </w:p>
    <w:p w14:paraId="258A1DD4">
      <w:pPr>
        <w:pStyle w:val="3"/>
        <w:spacing w:before="23" w:line="358" w:lineRule="auto"/>
        <w:ind w:left="29" w:right="112" w:firstLine="641"/>
        <w:jc w:val="both"/>
        <w:rPr>
          <w:rFonts w:hint="default" w:ascii="Times New Roman" w:hAnsi="Times New Roman" w:eastAsia="仿宋_GB2312" w:cs="Times New Roman"/>
          <w:sz w:val="31"/>
          <w:szCs w:val="31"/>
        </w:rPr>
      </w:pPr>
      <w:r>
        <w:rPr>
          <w:rFonts w:hint="default" w:ascii="Times New Roman" w:hAnsi="Times New Roman" w:eastAsia="仿宋_GB2312" w:cs="Times New Roman"/>
          <w:color w:val="222222"/>
          <w:spacing w:val="22"/>
          <w:sz w:val="31"/>
          <w:szCs w:val="31"/>
        </w:rPr>
        <w:t>按照本次动态维护正向优化原则，调出永久基本农田</w:t>
      </w:r>
      <w:r>
        <w:rPr>
          <w:rFonts w:hint="default" w:ascii="Times New Roman" w:hAnsi="Times New Roman" w:eastAsia="仿宋_GB2312" w:cs="Times New Roman"/>
          <w:color w:val="222222"/>
          <w:spacing w:val="21"/>
          <w:sz w:val="31"/>
          <w:szCs w:val="31"/>
        </w:rPr>
        <w:t>的地块是划定不实、误划、不适宜耕种的地块。调入、调出面积实现总量平衡；动态维护后永久基本农田保护面积</w:t>
      </w:r>
      <w:r>
        <w:rPr>
          <w:rFonts w:hint="default" w:ascii="Times New Roman" w:hAnsi="Times New Roman" w:eastAsia="仿宋_GB2312" w:cs="Times New Roman"/>
          <w:color w:val="222222"/>
          <w:spacing w:val="9"/>
          <w:sz w:val="31"/>
          <w:szCs w:val="31"/>
        </w:rPr>
        <w:t>有增加，永久基本农田中高标准农田建成面积占比有提高，</w:t>
      </w:r>
      <w:r>
        <w:rPr>
          <w:rFonts w:hint="default" w:ascii="Times New Roman" w:hAnsi="Times New Roman" w:eastAsia="仿宋_GB2312" w:cs="Times New Roman"/>
          <w:color w:val="222222"/>
          <w:spacing w:val="21"/>
          <w:sz w:val="31"/>
          <w:szCs w:val="31"/>
        </w:rPr>
        <w:t>图斑集中连片程度有提升，符合“数量不减少、质量生态</w:t>
      </w:r>
      <w:r>
        <w:rPr>
          <w:rFonts w:hint="default" w:ascii="Times New Roman" w:hAnsi="Times New Roman" w:eastAsia="仿宋_GB2312" w:cs="Times New Roman"/>
          <w:color w:val="222222"/>
          <w:spacing w:val="19"/>
          <w:sz w:val="31"/>
          <w:szCs w:val="31"/>
        </w:rPr>
        <w:t>有提升、布局更优化”的正向标准。拟正向优化调出类型</w:t>
      </w:r>
      <w:r>
        <w:rPr>
          <w:rFonts w:hint="default" w:ascii="Times New Roman" w:hAnsi="Times New Roman" w:eastAsia="仿宋_GB2312" w:cs="Times New Roman"/>
          <w:color w:val="222222"/>
          <w:spacing w:val="8"/>
          <w:sz w:val="31"/>
          <w:szCs w:val="31"/>
        </w:rPr>
        <w:t>包含以下几类</w:t>
      </w:r>
      <w:r>
        <w:rPr>
          <w:rFonts w:hint="eastAsia" w:ascii="Times New Roman" w:hAnsi="Times New Roman" w:eastAsia="仿宋_GB2312" w:cs="Times New Roman"/>
          <w:color w:val="222222"/>
          <w:spacing w:val="8"/>
          <w:sz w:val="31"/>
          <w:szCs w:val="31"/>
          <w:lang w:eastAsia="zh-CN"/>
        </w:rPr>
        <w:t>：</w:t>
      </w:r>
      <w:r>
        <w:rPr>
          <w:rFonts w:hint="default" w:ascii="Times New Roman" w:hAnsi="Times New Roman" w:eastAsia="仿宋_GB2312" w:cs="Times New Roman"/>
          <w:color w:val="222222"/>
          <w:spacing w:val="8"/>
          <w:sz w:val="31"/>
          <w:szCs w:val="31"/>
        </w:rPr>
        <w:t>(1)5亩以下零星图斑</w:t>
      </w:r>
      <w:r>
        <w:rPr>
          <w:rFonts w:hint="default" w:ascii="Times New Roman" w:hAnsi="Times New Roman" w:eastAsia="仿宋_GB2312" w:cs="Times New Roman"/>
          <w:color w:val="222222"/>
          <w:spacing w:val="8"/>
          <w:sz w:val="31"/>
          <w:szCs w:val="31"/>
          <w:lang w:eastAsia="zh-CN"/>
        </w:rPr>
        <w:t>；</w:t>
      </w:r>
      <w:r>
        <w:rPr>
          <w:rFonts w:hint="eastAsia" w:ascii="Times New Roman" w:hAnsi="Times New Roman" w:eastAsia="仿宋_GB2312" w:cs="Times New Roman"/>
          <w:color w:val="222222"/>
          <w:spacing w:val="8"/>
          <w:sz w:val="31"/>
          <w:szCs w:val="31"/>
          <w:lang w:eastAsia="zh-CN"/>
        </w:rPr>
        <w:t>（</w:t>
      </w:r>
      <w:r>
        <w:rPr>
          <w:rFonts w:hint="default" w:ascii="Times New Roman" w:hAnsi="Times New Roman" w:eastAsia="仿宋_GB2312" w:cs="Times New Roman"/>
          <w:color w:val="222222"/>
          <w:spacing w:val="8"/>
          <w:sz w:val="31"/>
          <w:szCs w:val="31"/>
        </w:rPr>
        <w:t>2</w:t>
      </w:r>
      <w:r>
        <w:rPr>
          <w:rFonts w:hint="eastAsia" w:ascii="Times New Roman" w:hAnsi="Times New Roman" w:eastAsia="仿宋_GB2312" w:cs="Times New Roman"/>
          <w:color w:val="222222"/>
          <w:spacing w:val="8"/>
          <w:sz w:val="31"/>
          <w:szCs w:val="31"/>
          <w:lang w:eastAsia="zh-CN"/>
        </w:rPr>
        <w:t>）</w:t>
      </w:r>
      <w:r>
        <w:rPr>
          <w:rFonts w:hint="default" w:ascii="Times New Roman" w:hAnsi="Times New Roman" w:eastAsia="仿宋_GB2312" w:cs="Times New Roman"/>
          <w:color w:val="222222"/>
          <w:spacing w:val="7"/>
          <w:sz w:val="31"/>
          <w:szCs w:val="31"/>
        </w:rPr>
        <w:t>历史误划、已取得</w:t>
      </w:r>
      <w:r>
        <w:rPr>
          <w:rFonts w:hint="default" w:ascii="Times New Roman" w:hAnsi="Times New Roman" w:eastAsia="仿宋_GB2312" w:cs="Times New Roman"/>
          <w:color w:val="222222"/>
          <w:spacing w:val="8"/>
          <w:sz w:val="31"/>
          <w:szCs w:val="31"/>
        </w:rPr>
        <w:t>合法手续图斑</w:t>
      </w:r>
      <w:r>
        <w:rPr>
          <w:rFonts w:hint="default" w:ascii="Times New Roman" w:hAnsi="Times New Roman" w:eastAsia="仿宋_GB2312" w:cs="Times New Roman"/>
          <w:color w:val="222222"/>
          <w:spacing w:val="8"/>
          <w:sz w:val="31"/>
          <w:szCs w:val="31"/>
          <w:lang w:eastAsia="zh-CN"/>
        </w:rPr>
        <w:t>；</w:t>
      </w:r>
      <w:r>
        <w:rPr>
          <w:rFonts w:hint="eastAsia" w:ascii="Times New Roman" w:hAnsi="Times New Roman" w:eastAsia="仿宋_GB2312" w:cs="Times New Roman"/>
          <w:color w:val="222222"/>
          <w:spacing w:val="8"/>
          <w:sz w:val="31"/>
          <w:szCs w:val="31"/>
          <w:lang w:eastAsia="zh-CN"/>
        </w:rPr>
        <w:t>（</w:t>
      </w:r>
      <w:r>
        <w:rPr>
          <w:rFonts w:hint="default" w:ascii="Times New Roman" w:hAnsi="Times New Roman" w:eastAsia="仿宋_GB2312" w:cs="Times New Roman"/>
          <w:color w:val="222222"/>
          <w:spacing w:val="8"/>
          <w:sz w:val="31"/>
          <w:szCs w:val="31"/>
        </w:rPr>
        <w:t>3</w:t>
      </w:r>
      <w:r>
        <w:rPr>
          <w:rFonts w:hint="eastAsia" w:ascii="Times New Roman" w:hAnsi="Times New Roman" w:eastAsia="仿宋_GB2312" w:cs="Times New Roman"/>
          <w:color w:val="222222"/>
          <w:spacing w:val="8"/>
          <w:sz w:val="31"/>
          <w:szCs w:val="31"/>
          <w:lang w:eastAsia="zh-CN"/>
        </w:rPr>
        <w:t>）</w:t>
      </w:r>
      <w:r>
        <w:rPr>
          <w:rFonts w:hint="default" w:ascii="Times New Roman" w:hAnsi="Times New Roman" w:eastAsia="仿宋_GB2312" w:cs="Times New Roman"/>
          <w:color w:val="222222"/>
          <w:spacing w:val="8"/>
          <w:sz w:val="31"/>
          <w:szCs w:val="31"/>
        </w:rPr>
        <w:t>最新年度变更调查“非耕地”拟调出</w:t>
      </w:r>
      <w:r>
        <w:rPr>
          <w:rFonts w:hint="default" w:ascii="Times New Roman" w:hAnsi="Times New Roman" w:eastAsia="仿宋_GB2312" w:cs="Times New Roman"/>
          <w:color w:val="222222"/>
          <w:spacing w:val="8"/>
          <w:sz w:val="31"/>
          <w:szCs w:val="31"/>
          <w:lang w:eastAsia="zh-CN"/>
        </w:rPr>
        <w:t>；</w:t>
      </w:r>
      <w:r>
        <w:rPr>
          <w:rFonts w:hint="eastAsia" w:ascii="Times New Roman" w:hAnsi="Times New Roman" w:eastAsia="仿宋_GB2312" w:cs="Times New Roman"/>
          <w:color w:val="222222"/>
          <w:spacing w:val="8"/>
          <w:sz w:val="31"/>
          <w:szCs w:val="31"/>
          <w:lang w:eastAsia="zh-CN"/>
        </w:rPr>
        <w:t>（</w:t>
      </w:r>
      <w:r>
        <w:rPr>
          <w:rFonts w:hint="default" w:ascii="Times New Roman" w:hAnsi="Times New Roman" w:eastAsia="仿宋_GB2312" w:cs="Times New Roman"/>
          <w:color w:val="222222"/>
          <w:spacing w:val="8"/>
          <w:sz w:val="31"/>
          <w:szCs w:val="31"/>
        </w:rPr>
        <w:t>4</w:t>
      </w:r>
      <w:r>
        <w:rPr>
          <w:rFonts w:hint="eastAsia" w:ascii="Times New Roman" w:hAnsi="Times New Roman" w:eastAsia="仿宋_GB2312" w:cs="Times New Roman"/>
          <w:color w:val="222222"/>
          <w:spacing w:val="8"/>
          <w:sz w:val="31"/>
          <w:szCs w:val="31"/>
          <w:lang w:eastAsia="zh-CN"/>
        </w:rPr>
        <w:t>）</w:t>
      </w:r>
      <w:r>
        <w:rPr>
          <w:rFonts w:hint="default" w:ascii="Times New Roman" w:hAnsi="Times New Roman" w:eastAsia="仿宋_GB2312" w:cs="Times New Roman"/>
          <w:color w:val="222222"/>
          <w:spacing w:val="18"/>
          <w:sz w:val="31"/>
          <w:szCs w:val="31"/>
        </w:rPr>
        <w:t>重大基础设施、民生保障和乡村振兴类项目，拟占用永久</w:t>
      </w:r>
      <w:r>
        <w:rPr>
          <w:rFonts w:hint="default" w:ascii="Times New Roman" w:hAnsi="Times New Roman" w:eastAsia="仿宋_GB2312" w:cs="Times New Roman"/>
          <w:color w:val="222222"/>
          <w:spacing w:val="8"/>
          <w:sz w:val="31"/>
          <w:szCs w:val="31"/>
        </w:rPr>
        <w:t>基本农田。</w:t>
      </w:r>
    </w:p>
    <w:p w14:paraId="3B386772">
      <w:pPr>
        <w:spacing w:line="358" w:lineRule="auto"/>
        <w:rPr>
          <w:rFonts w:hint="default" w:ascii="Times New Roman" w:hAnsi="Times New Roman" w:eastAsia="仿宋_GB2312" w:cs="Times New Roman"/>
          <w:sz w:val="31"/>
          <w:szCs w:val="31"/>
        </w:rPr>
        <w:sectPr>
          <w:pgSz w:w="11906" w:h="16839"/>
          <w:pgMar w:top="1431" w:right="1676" w:bottom="1417" w:left="1785" w:header="0" w:footer="0" w:gutter="0"/>
          <w:cols w:space="720" w:num="1"/>
        </w:sectPr>
      </w:pPr>
    </w:p>
    <w:p w14:paraId="14CA129A">
      <w:pPr>
        <w:pStyle w:val="3"/>
        <w:keepNext w:val="0"/>
        <w:keepLines w:val="0"/>
        <w:pageBreakBefore w:val="0"/>
        <w:widowControl/>
        <w:kinsoku w:val="0"/>
        <w:wordWrap/>
        <w:overflowPunct/>
        <w:topLinePunct w:val="0"/>
        <w:autoSpaceDE w:val="0"/>
        <w:autoSpaceDN w:val="0"/>
        <w:bidi w:val="0"/>
        <w:adjustRightInd w:val="0"/>
        <w:snapToGrid w:val="0"/>
        <w:spacing w:before="101" w:after="0" w:afterLines="100" w:line="437" w:lineRule="exact"/>
        <w:ind w:left="692"/>
        <w:textAlignment w:val="baseline"/>
        <w:rPr>
          <w:rFonts w:hint="default" w:ascii="Times New Roman" w:hAnsi="Times New Roman" w:eastAsia="仿宋_GB2312" w:cs="Times New Roman"/>
          <w:b/>
          <w:bCs/>
          <w:color w:val="222222"/>
          <w:spacing w:val="8"/>
          <w:position w:val="2"/>
          <w:sz w:val="31"/>
          <w:szCs w:val="31"/>
        </w:rPr>
      </w:pPr>
      <w:r>
        <w:rPr>
          <w:rFonts w:hint="default" w:ascii="Times New Roman" w:hAnsi="Times New Roman" w:eastAsia="仿宋_GB2312" w:cs="Times New Roman"/>
          <w:b/>
          <w:bCs/>
          <w:color w:val="222222"/>
          <w:spacing w:val="8"/>
          <w:position w:val="2"/>
          <w:sz w:val="31"/>
          <w:szCs w:val="31"/>
        </w:rPr>
        <w:t>2.生态保护红线</w:t>
      </w:r>
    </w:p>
    <w:p w14:paraId="4E3C41DC">
      <w:pPr>
        <w:pStyle w:val="3"/>
        <w:spacing w:before="173" w:line="356" w:lineRule="auto"/>
        <w:ind w:left="36" w:right="11" w:firstLine="633"/>
        <w:rPr>
          <w:rFonts w:hint="default" w:ascii="Times New Roman" w:hAnsi="Times New Roman" w:eastAsia="仿宋_GB2312" w:cs="Times New Roman"/>
          <w:sz w:val="31"/>
          <w:szCs w:val="31"/>
        </w:rPr>
      </w:pPr>
      <w:r>
        <w:rPr>
          <w:rFonts w:hint="default" w:ascii="Times New Roman" w:hAnsi="Times New Roman" w:eastAsia="仿宋_GB2312" w:cs="Times New Roman"/>
          <w:color w:val="222222"/>
          <w:spacing w:val="-15"/>
          <w:sz w:val="31"/>
          <w:szCs w:val="31"/>
        </w:rPr>
        <w:t>现行《总体规划》划定生态保护红线总面积为</w:t>
      </w:r>
      <w:r>
        <w:rPr>
          <w:rFonts w:hint="default" w:ascii="Times New Roman" w:hAnsi="Times New Roman" w:eastAsia="仿宋_GB2312" w:cs="Times New Roman"/>
          <w:color w:val="222222"/>
          <w:spacing w:val="10"/>
          <w:sz w:val="31"/>
          <w:szCs w:val="31"/>
          <w:lang w:val="en-US" w:eastAsia="zh-CN"/>
        </w:rPr>
        <w:t>21215.00公顷</w:t>
      </w:r>
      <w:r>
        <w:rPr>
          <w:rFonts w:hint="default" w:ascii="Times New Roman" w:hAnsi="Times New Roman" w:eastAsia="仿宋_GB2312" w:cs="Times New Roman"/>
          <w:color w:val="222222"/>
          <w:spacing w:val="10"/>
          <w:sz w:val="31"/>
          <w:szCs w:val="31"/>
        </w:rPr>
        <w:t>。生态保护红线主要围绕</w:t>
      </w:r>
      <w:r>
        <w:rPr>
          <w:rFonts w:hint="default" w:ascii="Times New Roman" w:hAnsi="Times New Roman" w:eastAsia="仿宋_GB2312" w:cs="Times New Roman"/>
          <w:color w:val="222222"/>
          <w:spacing w:val="10"/>
          <w:sz w:val="31"/>
          <w:szCs w:val="31"/>
          <w:lang w:eastAsia="zh-CN"/>
        </w:rPr>
        <w:t>安邦河</w:t>
      </w:r>
      <w:r>
        <w:rPr>
          <w:rFonts w:hint="default" w:ascii="Times New Roman" w:hAnsi="Times New Roman" w:eastAsia="仿宋_GB2312" w:cs="Times New Roman"/>
          <w:color w:val="222222"/>
          <w:spacing w:val="10"/>
          <w:sz w:val="31"/>
          <w:szCs w:val="31"/>
        </w:rPr>
        <w:t>流</w:t>
      </w:r>
      <w:r>
        <w:rPr>
          <w:rFonts w:hint="default" w:ascii="Times New Roman" w:hAnsi="Times New Roman" w:eastAsia="仿宋_GB2312" w:cs="Times New Roman"/>
          <w:color w:val="222222"/>
          <w:spacing w:val="9"/>
          <w:sz w:val="31"/>
          <w:szCs w:val="31"/>
        </w:rPr>
        <w:t>域生态</w:t>
      </w:r>
      <w:r>
        <w:rPr>
          <w:rFonts w:hint="default" w:ascii="Times New Roman" w:hAnsi="Times New Roman" w:eastAsia="仿宋_GB2312" w:cs="Times New Roman"/>
          <w:color w:val="222222"/>
          <w:spacing w:val="21"/>
          <w:sz w:val="31"/>
          <w:szCs w:val="31"/>
        </w:rPr>
        <w:t>安全、</w:t>
      </w:r>
      <w:r>
        <w:rPr>
          <w:rFonts w:hint="default" w:ascii="Times New Roman" w:hAnsi="Times New Roman" w:eastAsia="仿宋_GB2312" w:cs="Times New Roman"/>
          <w:color w:val="222222"/>
          <w:spacing w:val="21"/>
          <w:sz w:val="31"/>
          <w:szCs w:val="31"/>
          <w:lang w:eastAsia="zh-CN"/>
        </w:rPr>
        <w:t>七星山森林</w:t>
      </w:r>
      <w:r>
        <w:rPr>
          <w:rFonts w:hint="default" w:ascii="Times New Roman" w:hAnsi="Times New Roman" w:eastAsia="仿宋_GB2312" w:cs="Times New Roman"/>
          <w:color w:val="222222"/>
          <w:spacing w:val="21"/>
          <w:sz w:val="31"/>
          <w:szCs w:val="31"/>
        </w:rPr>
        <w:t>生态系统及农田生态屏障划定，</w:t>
      </w:r>
      <w:r>
        <w:rPr>
          <w:rFonts w:hint="default" w:ascii="Times New Roman" w:hAnsi="Times New Roman" w:eastAsia="仿宋_GB2312" w:cs="Times New Roman"/>
          <w:color w:val="222222"/>
          <w:spacing w:val="21"/>
          <w:sz w:val="31"/>
          <w:szCs w:val="31"/>
          <w:highlight w:val="none"/>
        </w:rPr>
        <w:t>涵盖</w:t>
      </w:r>
      <w:r>
        <w:rPr>
          <w:rFonts w:hint="default" w:ascii="Times New Roman" w:hAnsi="Times New Roman" w:eastAsia="仿宋_GB2312" w:cs="Times New Roman"/>
          <w:color w:val="222222"/>
          <w:spacing w:val="21"/>
          <w:sz w:val="31"/>
          <w:szCs w:val="31"/>
          <w:highlight w:val="none"/>
          <w:lang w:eastAsia="zh-CN"/>
        </w:rPr>
        <w:t>安邦河</w:t>
      </w:r>
      <w:r>
        <w:rPr>
          <w:rFonts w:hint="default" w:ascii="Times New Roman" w:hAnsi="Times New Roman" w:eastAsia="仿宋_GB2312" w:cs="Times New Roman"/>
          <w:color w:val="222222"/>
          <w:spacing w:val="21"/>
          <w:sz w:val="31"/>
          <w:szCs w:val="31"/>
          <w:highlight w:val="none"/>
        </w:rPr>
        <w:t>支流沿岸湿地、草原过渡带、</w:t>
      </w:r>
      <w:r>
        <w:rPr>
          <w:rFonts w:hint="default" w:ascii="Times New Roman" w:hAnsi="Times New Roman" w:eastAsia="仿宋_GB2312" w:cs="Times New Roman"/>
          <w:color w:val="222222"/>
          <w:spacing w:val="25"/>
          <w:sz w:val="31"/>
          <w:szCs w:val="31"/>
          <w:highlight w:val="none"/>
        </w:rPr>
        <w:t>重要水源涵养区及防风固沙区，总面积约占县域</w:t>
      </w:r>
      <w:r>
        <w:rPr>
          <w:rFonts w:hint="default" w:ascii="Times New Roman" w:hAnsi="Times New Roman" w:eastAsia="仿宋_GB2312" w:cs="Times New Roman"/>
          <w:color w:val="222222"/>
          <w:spacing w:val="24"/>
          <w:sz w:val="31"/>
          <w:szCs w:val="31"/>
          <w:highlight w:val="none"/>
        </w:rPr>
        <w:t>面积的</w:t>
      </w:r>
      <w:r>
        <w:rPr>
          <w:rFonts w:hint="default" w:ascii="Times New Roman" w:hAnsi="Times New Roman" w:eastAsia="仿宋_GB2312" w:cs="Times New Roman"/>
          <w:color w:val="222222"/>
          <w:sz w:val="31"/>
          <w:szCs w:val="31"/>
          <w:highlight w:val="none"/>
          <w:lang w:val="en-US" w:eastAsia="zh-CN"/>
        </w:rPr>
        <w:t>9.57</w:t>
      </w:r>
      <w:r>
        <w:rPr>
          <w:rFonts w:hint="default" w:ascii="Times New Roman" w:hAnsi="Times New Roman" w:eastAsia="仿宋_GB2312" w:cs="Times New Roman"/>
          <w:color w:val="222222"/>
          <w:sz w:val="31"/>
          <w:szCs w:val="31"/>
          <w:highlight w:val="none"/>
        </w:rPr>
        <w:t>%，核心保护对象包括</w:t>
      </w:r>
      <w:r>
        <w:rPr>
          <w:rFonts w:hint="default" w:ascii="Times New Roman" w:hAnsi="Times New Roman" w:eastAsia="仿宋_GB2312" w:cs="Times New Roman"/>
          <w:color w:val="222222"/>
          <w:spacing w:val="21"/>
          <w:sz w:val="31"/>
          <w:szCs w:val="31"/>
          <w:highlight w:val="none"/>
          <w:lang w:eastAsia="zh-CN"/>
        </w:rPr>
        <w:t>安邦河</w:t>
      </w:r>
      <w:r>
        <w:rPr>
          <w:rFonts w:hint="default" w:ascii="Times New Roman" w:hAnsi="Times New Roman" w:eastAsia="仿宋_GB2312" w:cs="Times New Roman"/>
          <w:color w:val="222222"/>
          <w:sz w:val="31"/>
          <w:szCs w:val="31"/>
          <w:highlight w:val="none"/>
        </w:rPr>
        <w:t>流域湿地生态</w:t>
      </w:r>
      <w:r>
        <w:rPr>
          <w:rFonts w:hint="default" w:ascii="Times New Roman" w:hAnsi="Times New Roman" w:eastAsia="仿宋_GB2312" w:cs="Times New Roman"/>
          <w:color w:val="222222"/>
          <w:spacing w:val="-1"/>
          <w:sz w:val="31"/>
          <w:szCs w:val="31"/>
          <w:highlight w:val="none"/>
        </w:rPr>
        <w:t>系统、农田</w:t>
      </w:r>
      <w:r>
        <w:rPr>
          <w:rFonts w:hint="default" w:ascii="Times New Roman" w:hAnsi="Times New Roman" w:eastAsia="仿宋_GB2312" w:cs="Times New Roman"/>
          <w:color w:val="222222"/>
          <w:spacing w:val="18"/>
          <w:sz w:val="31"/>
          <w:szCs w:val="31"/>
          <w:highlight w:val="none"/>
        </w:rPr>
        <w:t>生态缓冲带及珍稀鸟类栖息地。</w:t>
      </w:r>
      <w:r>
        <w:rPr>
          <w:rFonts w:hint="default" w:ascii="Times New Roman" w:hAnsi="Times New Roman" w:eastAsia="仿宋_GB2312" w:cs="Times New Roman"/>
          <w:color w:val="222222"/>
          <w:spacing w:val="18"/>
          <w:sz w:val="31"/>
          <w:szCs w:val="31"/>
        </w:rPr>
        <w:t>后续</w:t>
      </w:r>
      <w:r>
        <w:rPr>
          <w:rFonts w:hint="default" w:ascii="Times New Roman" w:hAnsi="Times New Roman" w:eastAsia="仿宋_GB2312" w:cs="Times New Roman"/>
          <w:color w:val="222222"/>
          <w:spacing w:val="21"/>
          <w:sz w:val="31"/>
          <w:szCs w:val="31"/>
        </w:rPr>
        <w:t>需逐步、有序地减少生态保护红线内除允许有限人为活动</w:t>
      </w:r>
      <w:r>
        <w:rPr>
          <w:rFonts w:hint="default" w:ascii="Times New Roman" w:hAnsi="Times New Roman" w:eastAsia="仿宋_GB2312" w:cs="Times New Roman"/>
          <w:color w:val="222222"/>
          <w:spacing w:val="8"/>
          <w:sz w:val="31"/>
          <w:szCs w:val="31"/>
        </w:rPr>
        <w:t>的其他地类，最终实现生态保护红线的纯粹性和完整性。</w:t>
      </w:r>
    </w:p>
    <w:p w14:paraId="1E49F6E4">
      <w:pPr>
        <w:pStyle w:val="3"/>
        <w:keepNext w:val="0"/>
        <w:keepLines w:val="0"/>
        <w:pageBreakBefore w:val="0"/>
        <w:widowControl/>
        <w:kinsoku w:val="0"/>
        <w:wordWrap/>
        <w:overflowPunct/>
        <w:topLinePunct w:val="0"/>
        <w:autoSpaceDE w:val="0"/>
        <w:autoSpaceDN w:val="0"/>
        <w:bidi w:val="0"/>
        <w:adjustRightInd w:val="0"/>
        <w:snapToGrid w:val="0"/>
        <w:spacing w:before="101" w:after="0" w:afterLines="100" w:line="437" w:lineRule="exact"/>
        <w:ind w:left="692"/>
        <w:textAlignment w:val="baseline"/>
        <w:rPr>
          <w:rFonts w:hint="default" w:ascii="Times New Roman" w:hAnsi="Times New Roman" w:eastAsia="仿宋_GB2312" w:cs="Times New Roman"/>
          <w:b/>
          <w:bCs/>
          <w:color w:val="222222"/>
          <w:spacing w:val="8"/>
          <w:position w:val="2"/>
          <w:sz w:val="31"/>
          <w:szCs w:val="31"/>
        </w:rPr>
      </w:pPr>
      <w:r>
        <w:rPr>
          <w:rFonts w:hint="default" w:ascii="Times New Roman" w:hAnsi="Times New Roman" w:eastAsia="仿宋_GB2312" w:cs="Times New Roman"/>
          <w:b/>
          <w:bCs/>
          <w:color w:val="222222"/>
          <w:spacing w:val="8"/>
          <w:position w:val="2"/>
          <w:sz w:val="31"/>
          <w:szCs w:val="31"/>
        </w:rPr>
        <w:t>3.城镇开发边界</w:t>
      </w:r>
    </w:p>
    <w:p w14:paraId="322DD22E">
      <w:pPr>
        <w:pStyle w:val="3"/>
        <w:spacing w:before="163" w:line="355" w:lineRule="auto"/>
        <w:ind w:left="41" w:right="11" w:firstLine="634"/>
        <w:rPr>
          <w:rFonts w:hint="default" w:ascii="Times New Roman" w:hAnsi="Times New Roman" w:eastAsia="仿宋_GB2312" w:cs="Times New Roman"/>
          <w:sz w:val="31"/>
          <w:szCs w:val="31"/>
        </w:rPr>
      </w:pPr>
      <w:r>
        <w:rPr>
          <w:rFonts w:hint="default" w:ascii="Times New Roman" w:hAnsi="Times New Roman" w:eastAsia="仿宋_GB2312" w:cs="Times New Roman"/>
          <w:spacing w:val="17"/>
          <w:sz w:val="31"/>
          <w:szCs w:val="31"/>
          <w:lang w:eastAsia="zh-CN"/>
        </w:rPr>
        <w:t>集贤</w:t>
      </w:r>
      <w:r>
        <w:rPr>
          <w:rFonts w:hint="default" w:ascii="Times New Roman" w:hAnsi="Times New Roman" w:eastAsia="仿宋_GB2312" w:cs="Times New Roman"/>
          <w:spacing w:val="17"/>
          <w:sz w:val="31"/>
          <w:szCs w:val="31"/>
        </w:rPr>
        <w:t>县城镇开发边界总面积</w:t>
      </w:r>
      <w:r>
        <w:rPr>
          <w:rFonts w:hint="default" w:ascii="Times New Roman" w:hAnsi="Times New Roman" w:eastAsia="仿宋_GB2312" w:cs="Times New Roman"/>
          <w:spacing w:val="17"/>
          <w:sz w:val="31"/>
          <w:szCs w:val="31"/>
          <w:lang w:val="en-US" w:eastAsia="zh-CN"/>
        </w:rPr>
        <w:t>5076.81公顷</w:t>
      </w:r>
      <w:r>
        <w:rPr>
          <w:rFonts w:hint="default" w:ascii="Times New Roman" w:hAnsi="Times New Roman" w:eastAsia="仿宋_GB2312" w:cs="Times New Roman"/>
          <w:spacing w:val="17"/>
          <w:sz w:val="31"/>
          <w:szCs w:val="31"/>
        </w:rPr>
        <w:t>，城镇开</w:t>
      </w:r>
      <w:r>
        <w:rPr>
          <w:rFonts w:hint="default" w:ascii="Times New Roman" w:hAnsi="Times New Roman" w:eastAsia="仿宋_GB2312" w:cs="Times New Roman"/>
          <w:spacing w:val="1"/>
          <w:sz w:val="31"/>
          <w:szCs w:val="31"/>
        </w:rPr>
        <w:t>发边界拓展倍数为1.25。</w:t>
      </w:r>
    </w:p>
    <w:p w14:paraId="614E003D">
      <w:pPr>
        <w:pStyle w:val="3"/>
        <w:spacing w:before="18" w:line="362" w:lineRule="auto"/>
        <w:ind w:left="32" w:right="11" w:firstLine="644"/>
        <w:jc w:val="both"/>
        <w:rPr>
          <w:rFonts w:hint="default" w:ascii="Times New Roman" w:hAnsi="Times New Roman" w:eastAsia="仿宋_GB2312" w:cs="Times New Roman"/>
          <w:sz w:val="31"/>
          <w:szCs w:val="31"/>
        </w:rPr>
      </w:pPr>
      <w:r>
        <w:rPr>
          <w:rFonts w:hint="default" w:ascii="Times New Roman" w:hAnsi="Times New Roman" w:eastAsia="仿宋_GB2312" w:cs="Times New Roman"/>
          <w:spacing w:val="17"/>
          <w:sz w:val="31"/>
          <w:szCs w:val="31"/>
        </w:rPr>
        <w:t>结合城镇空间发展的情况和“十五五”期间的空间土</w:t>
      </w:r>
      <w:r>
        <w:rPr>
          <w:rFonts w:hint="default" w:ascii="Times New Roman" w:hAnsi="Times New Roman" w:eastAsia="仿宋_GB2312" w:cs="Times New Roman"/>
          <w:spacing w:val="21"/>
          <w:sz w:val="31"/>
          <w:szCs w:val="31"/>
        </w:rPr>
        <w:t>地需求，本次动态维护工作对城镇开发边界进行了规模调</w:t>
      </w:r>
      <w:r>
        <w:rPr>
          <w:rFonts w:hint="default" w:ascii="Times New Roman" w:hAnsi="Times New Roman" w:eastAsia="仿宋_GB2312" w:cs="Times New Roman"/>
          <w:spacing w:val="19"/>
          <w:sz w:val="31"/>
          <w:szCs w:val="31"/>
        </w:rPr>
        <w:t>整和空间优化，调整后</w:t>
      </w:r>
      <w:r>
        <w:rPr>
          <w:rFonts w:hint="default" w:ascii="Times New Roman" w:hAnsi="Times New Roman" w:eastAsia="仿宋_GB2312" w:cs="Times New Roman"/>
          <w:spacing w:val="19"/>
          <w:sz w:val="31"/>
          <w:szCs w:val="31"/>
          <w:lang w:eastAsia="zh-CN"/>
        </w:rPr>
        <w:t>集贤</w:t>
      </w:r>
      <w:r>
        <w:rPr>
          <w:rFonts w:hint="default" w:ascii="Times New Roman" w:hAnsi="Times New Roman" w:eastAsia="仿宋_GB2312" w:cs="Times New Roman"/>
          <w:spacing w:val="19"/>
          <w:sz w:val="31"/>
          <w:szCs w:val="31"/>
        </w:rPr>
        <w:t>县城镇开发边界总面积</w:t>
      </w:r>
      <w:r>
        <w:rPr>
          <w:rFonts w:hint="default" w:ascii="Times New Roman" w:hAnsi="Times New Roman" w:eastAsia="仿宋_GB2312" w:cs="Times New Roman"/>
          <w:spacing w:val="17"/>
          <w:sz w:val="31"/>
          <w:szCs w:val="31"/>
          <w:lang w:val="en-US" w:eastAsia="zh-CN"/>
        </w:rPr>
        <w:t>5076.81公顷</w:t>
      </w:r>
      <w:r>
        <w:rPr>
          <w:rFonts w:hint="default" w:ascii="Times New Roman" w:hAnsi="Times New Roman" w:eastAsia="仿宋_GB2312" w:cs="Times New Roman"/>
          <w:spacing w:val="4"/>
          <w:sz w:val="31"/>
          <w:szCs w:val="31"/>
        </w:rPr>
        <w:t>，城镇开发边界拓展倍数为1.25。</w:t>
      </w:r>
    </w:p>
    <w:p w14:paraId="1BF10040">
      <w:pPr>
        <w:pStyle w:val="2"/>
        <w:widowControl/>
        <w:spacing w:beforeAutospacing="0" w:afterAutospacing="0" w:line="560" w:lineRule="exact"/>
        <w:ind w:firstLine="640" w:firstLineChars="200"/>
        <w:rPr>
          <w:rFonts w:hint="default" w:ascii="Times New Roman" w:hAnsi="Times New Roman" w:eastAsia="黑体" w:cs="Times New Roman"/>
          <w:b w:val="0"/>
          <w:bCs w:val="0"/>
          <w:color w:val="000000"/>
          <w:sz w:val="32"/>
          <w:szCs w:val="32"/>
        </w:rPr>
      </w:pPr>
      <w:r>
        <w:rPr>
          <w:rFonts w:hint="default" w:ascii="Times New Roman" w:hAnsi="Times New Roman" w:eastAsia="黑体" w:cs="Times New Roman"/>
          <w:b w:val="0"/>
          <w:bCs w:val="0"/>
          <w:color w:val="000000"/>
          <w:sz w:val="32"/>
          <w:szCs w:val="32"/>
          <w:lang w:eastAsia="zh-CN"/>
        </w:rPr>
        <w:t>（二）</w:t>
      </w:r>
      <w:r>
        <w:rPr>
          <w:rFonts w:hint="default" w:ascii="Times New Roman" w:hAnsi="Times New Roman" w:eastAsia="黑体" w:cs="Times New Roman"/>
          <w:b w:val="0"/>
          <w:bCs w:val="0"/>
          <w:color w:val="000000"/>
          <w:sz w:val="32"/>
          <w:szCs w:val="32"/>
        </w:rPr>
        <w:t>中心城区用地用海规划布局维护</w:t>
      </w:r>
    </w:p>
    <w:p w14:paraId="78687950">
      <w:pPr>
        <w:pStyle w:val="3"/>
        <w:spacing w:line="298" w:lineRule="auto"/>
        <w:rPr>
          <w:rFonts w:hint="default" w:ascii="Times New Roman" w:hAnsi="Times New Roman" w:cs="Times New Roman"/>
        </w:rPr>
      </w:pPr>
    </w:p>
    <w:p w14:paraId="40851227">
      <w:pPr>
        <w:spacing w:before="102" w:line="357" w:lineRule="auto"/>
        <w:ind w:left="31" w:right="13" w:firstLine="640"/>
        <w:jc w:val="both"/>
        <w:rPr>
          <w:rFonts w:hint="default" w:ascii="Times New Roman" w:hAnsi="Times New Roman" w:eastAsia="仿宋_GB2312" w:cs="Times New Roman"/>
          <w:sz w:val="31"/>
          <w:szCs w:val="31"/>
        </w:rPr>
      </w:pPr>
      <w:r>
        <w:rPr>
          <w:rFonts w:hint="default" w:ascii="Times New Roman" w:hAnsi="Times New Roman" w:eastAsia="仿宋_GB2312" w:cs="Times New Roman"/>
          <w:color w:val="222222"/>
          <w:spacing w:val="20"/>
          <w:sz w:val="31"/>
          <w:szCs w:val="31"/>
        </w:rPr>
        <w:t>本次中心城区用地布局动态维护以“严守底线、优化</w:t>
      </w:r>
      <w:r>
        <w:rPr>
          <w:rFonts w:hint="default" w:ascii="Times New Roman" w:hAnsi="Times New Roman" w:eastAsia="仿宋_GB2312" w:cs="Times New Roman"/>
          <w:color w:val="222222"/>
          <w:spacing w:val="19"/>
          <w:sz w:val="31"/>
          <w:szCs w:val="31"/>
        </w:rPr>
        <w:t>布局、保障发展、提升品质”为导向，在不改变城市总体</w:t>
      </w:r>
      <w:r>
        <w:rPr>
          <w:rFonts w:hint="default" w:ascii="Times New Roman" w:hAnsi="Times New Roman" w:eastAsia="仿宋_GB2312" w:cs="Times New Roman"/>
          <w:color w:val="222222"/>
          <w:spacing w:val="7"/>
          <w:sz w:val="31"/>
          <w:szCs w:val="31"/>
        </w:rPr>
        <w:t>格局和空间结构的基础上，重点对居住、公共服务、绿地、</w:t>
      </w:r>
      <w:r>
        <w:rPr>
          <w:rFonts w:hint="default" w:ascii="Times New Roman" w:hAnsi="Times New Roman" w:eastAsia="仿宋_GB2312" w:cs="Times New Roman"/>
          <w:color w:val="222222"/>
          <w:spacing w:val="7"/>
          <w:sz w:val="31"/>
          <w:szCs w:val="31"/>
          <w:lang w:eastAsia="zh-CN"/>
        </w:rPr>
        <w:t>产业、</w:t>
      </w:r>
      <w:r>
        <w:rPr>
          <w:rFonts w:hint="default" w:ascii="Times New Roman" w:hAnsi="Times New Roman" w:eastAsia="仿宋_GB2312" w:cs="Times New Roman"/>
          <w:color w:val="222222"/>
          <w:spacing w:val="17"/>
          <w:sz w:val="31"/>
          <w:szCs w:val="31"/>
        </w:rPr>
        <w:t>交通等用地进行局部优化，旨在增强规划对近期发展需求</w:t>
      </w:r>
      <w:r>
        <w:rPr>
          <w:rFonts w:hint="default" w:ascii="Times New Roman" w:hAnsi="Times New Roman" w:eastAsia="仿宋_GB2312" w:cs="Times New Roman"/>
          <w:color w:val="222222"/>
          <w:spacing w:val="4"/>
          <w:sz w:val="31"/>
          <w:szCs w:val="31"/>
        </w:rPr>
        <w:t>的适应性和可实施性。</w:t>
      </w:r>
    </w:p>
    <w:p w14:paraId="4EF96706">
      <w:pPr>
        <w:spacing w:before="102" w:line="357" w:lineRule="auto"/>
        <w:ind w:left="31" w:right="13" w:firstLine="640"/>
        <w:jc w:val="both"/>
        <w:rPr>
          <w:rFonts w:hint="default" w:ascii="Times New Roman" w:hAnsi="Times New Roman" w:eastAsia="仿宋_GB2312" w:cs="Times New Roman"/>
          <w:color w:val="222222"/>
          <w:spacing w:val="20"/>
          <w:sz w:val="31"/>
          <w:szCs w:val="31"/>
        </w:rPr>
      </w:pPr>
      <w:r>
        <w:rPr>
          <w:rFonts w:hint="default" w:ascii="Times New Roman" w:hAnsi="Times New Roman" w:eastAsia="仿宋_GB2312" w:cs="Times New Roman"/>
          <w:color w:val="222222"/>
          <w:spacing w:val="20"/>
          <w:sz w:val="31"/>
          <w:szCs w:val="31"/>
        </w:rPr>
        <w:t>本次涉及用地布局维护，涉及调整用地用海规划类型包含城镇住宅用地</w:t>
      </w:r>
      <w:r>
        <w:rPr>
          <w:rFonts w:hint="default" w:ascii="Times New Roman" w:hAnsi="Times New Roman" w:eastAsia="仿宋_GB2312" w:cs="Times New Roman"/>
          <w:color w:val="222222"/>
          <w:spacing w:val="20"/>
          <w:sz w:val="31"/>
          <w:szCs w:val="31"/>
          <w:lang w:eastAsia="zh-CN"/>
        </w:rPr>
        <w:t>、</w:t>
      </w:r>
      <w:r>
        <w:rPr>
          <w:rFonts w:hint="default" w:ascii="Times New Roman" w:hAnsi="Times New Roman" w:eastAsia="仿宋_GB2312" w:cs="Times New Roman"/>
          <w:color w:val="222222"/>
          <w:spacing w:val="20"/>
          <w:sz w:val="31"/>
          <w:szCs w:val="31"/>
        </w:rPr>
        <w:t>教育用地</w:t>
      </w:r>
      <w:r>
        <w:rPr>
          <w:rFonts w:hint="default" w:ascii="Times New Roman" w:hAnsi="Times New Roman" w:eastAsia="仿宋_GB2312" w:cs="Times New Roman"/>
          <w:color w:val="222222"/>
          <w:spacing w:val="20"/>
          <w:sz w:val="31"/>
          <w:szCs w:val="31"/>
          <w:lang w:eastAsia="zh-CN"/>
        </w:rPr>
        <w:t>、</w:t>
      </w:r>
      <w:r>
        <w:rPr>
          <w:rFonts w:hint="default" w:ascii="Times New Roman" w:hAnsi="Times New Roman" w:eastAsia="仿宋_GB2312" w:cs="Times New Roman"/>
          <w:color w:val="222222"/>
          <w:spacing w:val="20"/>
          <w:sz w:val="31"/>
          <w:szCs w:val="31"/>
        </w:rPr>
        <w:t>医疗卫生用地</w:t>
      </w:r>
      <w:r>
        <w:rPr>
          <w:rFonts w:hint="default" w:ascii="Times New Roman" w:hAnsi="Times New Roman" w:eastAsia="仿宋_GB2312" w:cs="Times New Roman"/>
          <w:color w:val="222222"/>
          <w:spacing w:val="20"/>
          <w:sz w:val="31"/>
          <w:szCs w:val="31"/>
          <w:lang w:eastAsia="zh-CN"/>
        </w:rPr>
        <w:t>、</w:t>
      </w:r>
      <w:r>
        <w:rPr>
          <w:rFonts w:hint="default" w:ascii="Times New Roman" w:hAnsi="Times New Roman" w:eastAsia="仿宋_GB2312" w:cs="Times New Roman"/>
          <w:color w:val="222222"/>
          <w:spacing w:val="20"/>
          <w:sz w:val="31"/>
          <w:szCs w:val="31"/>
        </w:rPr>
        <w:t>机关团体用地、社会福利用地、殡葬用地</w:t>
      </w:r>
      <w:r>
        <w:rPr>
          <w:rFonts w:hint="default" w:ascii="Times New Roman" w:hAnsi="Times New Roman" w:eastAsia="仿宋_GB2312" w:cs="Times New Roman"/>
          <w:color w:val="222222"/>
          <w:spacing w:val="20"/>
          <w:sz w:val="31"/>
          <w:szCs w:val="31"/>
          <w:lang w:eastAsia="zh-CN"/>
        </w:rPr>
        <w:t>、</w:t>
      </w:r>
      <w:r>
        <w:rPr>
          <w:rFonts w:hint="default" w:ascii="Times New Roman" w:hAnsi="Times New Roman" w:eastAsia="仿宋_GB2312" w:cs="Times New Roman"/>
          <w:color w:val="222222"/>
          <w:spacing w:val="20"/>
          <w:sz w:val="31"/>
          <w:szCs w:val="31"/>
        </w:rPr>
        <w:t>公共交通场站用地</w:t>
      </w:r>
      <w:r>
        <w:rPr>
          <w:rFonts w:hint="default" w:ascii="Times New Roman" w:hAnsi="Times New Roman" w:eastAsia="仿宋_GB2312" w:cs="Times New Roman"/>
          <w:color w:val="222222"/>
          <w:spacing w:val="20"/>
          <w:sz w:val="31"/>
          <w:szCs w:val="31"/>
          <w:lang w:eastAsia="zh-CN"/>
        </w:rPr>
        <w:t>、</w:t>
      </w:r>
      <w:r>
        <w:rPr>
          <w:rFonts w:hint="default" w:ascii="Times New Roman" w:hAnsi="Times New Roman" w:eastAsia="仿宋_GB2312" w:cs="Times New Roman"/>
          <w:color w:val="222222"/>
          <w:spacing w:val="20"/>
          <w:sz w:val="31"/>
          <w:szCs w:val="31"/>
        </w:rPr>
        <w:t>社会停车场用地</w:t>
      </w:r>
      <w:r>
        <w:rPr>
          <w:rFonts w:hint="default" w:ascii="Times New Roman" w:hAnsi="Times New Roman" w:eastAsia="仿宋_GB2312" w:cs="Times New Roman"/>
          <w:color w:val="222222"/>
          <w:spacing w:val="20"/>
          <w:sz w:val="31"/>
          <w:szCs w:val="31"/>
          <w:lang w:eastAsia="zh-CN"/>
        </w:rPr>
        <w:t>、</w:t>
      </w:r>
      <w:r>
        <w:rPr>
          <w:rFonts w:hint="default" w:ascii="Times New Roman" w:hAnsi="Times New Roman" w:eastAsia="仿宋_GB2312" w:cs="Times New Roman"/>
          <w:color w:val="222222"/>
          <w:spacing w:val="20"/>
          <w:sz w:val="31"/>
          <w:szCs w:val="31"/>
        </w:rPr>
        <w:t>城镇村道路用地、工业用地、商业服务业用地、公园绿地、物流仓储用地和</w:t>
      </w:r>
      <w:r>
        <w:rPr>
          <w:rFonts w:hint="default" w:ascii="Times New Roman" w:hAnsi="Times New Roman" w:eastAsia="仿宋_GB2312" w:cs="Times New Roman"/>
          <w:color w:val="222222"/>
          <w:spacing w:val="20"/>
          <w:sz w:val="31"/>
          <w:szCs w:val="31"/>
          <w:lang w:eastAsia="zh-CN"/>
        </w:rPr>
        <w:t>商业</w:t>
      </w:r>
      <w:r>
        <w:rPr>
          <w:rFonts w:hint="default" w:ascii="Times New Roman" w:hAnsi="Times New Roman" w:eastAsia="仿宋_GB2312" w:cs="Times New Roman"/>
          <w:color w:val="222222"/>
          <w:spacing w:val="20"/>
          <w:sz w:val="31"/>
          <w:szCs w:val="31"/>
        </w:rPr>
        <w:t>用地等。围绕重点民生项目与“十五五”近期实施项目，对中心城区5</w:t>
      </w:r>
      <w:r>
        <w:rPr>
          <w:rFonts w:hint="default" w:ascii="Times New Roman" w:hAnsi="Times New Roman" w:eastAsia="仿宋_GB2312" w:cs="Times New Roman"/>
          <w:color w:val="222222"/>
          <w:spacing w:val="20"/>
          <w:sz w:val="31"/>
          <w:szCs w:val="31"/>
          <w:lang w:val="en-US" w:eastAsia="zh-CN"/>
        </w:rPr>
        <w:t>8</w:t>
      </w:r>
      <w:r>
        <w:rPr>
          <w:rFonts w:hint="default" w:ascii="Times New Roman" w:hAnsi="Times New Roman" w:eastAsia="仿宋_GB2312" w:cs="Times New Roman"/>
          <w:color w:val="222222"/>
          <w:spacing w:val="20"/>
          <w:sz w:val="31"/>
          <w:szCs w:val="31"/>
        </w:rPr>
        <w:t>宗地块进行布局优化，具体包括：</w:t>
      </w:r>
    </w:p>
    <w:p w14:paraId="52D42292">
      <w:pPr>
        <w:pStyle w:val="7"/>
        <w:keepNext w:val="0"/>
        <w:keepLines w:val="0"/>
        <w:pageBreakBefore w:val="0"/>
        <w:widowControl/>
        <w:shd w:val="clear" w:color="auto" w:fill="FFFFFF"/>
        <w:kinsoku/>
        <w:wordWrap/>
        <w:overflowPunct/>
        <w:topLinePunct w:val="0"/>
        <w:autoSpaceDE/>
        <w:autoSpaceDN/>
        <w:bidi w:val="0"/>
        <w:adjustRightInd w:val="0"/>
        <w:snapToGrid w:val="0"/>
        <w:spacing w:line="580" w:lineRule="exact"/>
        <w:ind w:left="0" w:leftChars="0" w:firstLine="643" w:firstLineChars="200"/>
        <w:textAlignment w:val="auto"/>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b/>
          <w:bCs/>
          <w:color w:val="0F1115"/>
          <w:sz w:val="32"/>
          <w:szCs w:val="32"/>
          <w:shd w:val="clear" w:color="auto" w:fill="FFFFFF"/>
        </w:rPr>
        <w:t>居住保障类</w:t>
      </w:r>
      <w:r>
        <w:rPr>
          <w:rStyle w:val="11"/>
          <w:rFonts w:hint="eastAsia" w:ascii="仿宋_GB2312" w:hAnsi="仿宋_GB2312" w:eastAsia="仿宋_GB2312" w:cs="仿宋_GB2312"/>
          <w:b/>
          <w:bCs/>
          <w:i w:val="0"/>
          <w:iCs w:val="0"/>
          <w:caps w:val="0"/>
          <w:color w:val="0F1115"/>
          <w:spacing w:val="0"/>
          <w:sz w:val="32"/>
          <w:szCs w:val="32"/>
          <w:shd w:val="clear" w:color="auto" w:fill="FFFFFF"/>
        </w:rPr>
        <w:t>：</w:t>
      </w:r>
      <w:r>
        <w:rPr>
          <w:rFonts w:hint="eastAsia" w:ascii="仿宋_GB2312" w:hAnsi="仿宋_GB2312" w:eastAsia="仿宋_GB2312" w:cs="仿宋_GB2312"/>
          <w:color w:val="0F1115"/>
          <w:sz w:val="32"/>
          <w:szCs w:val="32"/>
          <w:shd w:val="clear" w:color="auto" w:fill="FFFFFF"/>
        </w:rPr>
        <w:t>城镇住宅用地6宗、农村宅基地2宗，支撑保障性住房建设及城市更新安置需求。</w:t>
      </w:r>
    </w:p>
    <w:p w14:paraId="586245D8">
      <w:pPr>
        <w:pStyle w:val="7"/>
        <w:keepNext w:val="0"/>
        <w:keepLines w:val="0"/>
        <w:pageBreakBefore w:val="0"/>
        <w:widowControl/>
        <w:shd w:val="clear" w:color="auto" w:fill="FFFFFF"/>
        <w:kinsoku/>
        <w:wordWrap/>
        <w:overflowPunct/>
        <w:topLinePunct w:val="0"/>
        <w:autoSpaceDE/>
        <w:autoSpaceDN/>
        <w:bidi w:val="0"/>
        <w:adjustRightInd w:val="0"/>
        <w:snapToGrid w:val="0"/>
        <w:spacing w:line="580" w:lineRule="exact"/>
        <w:ind w:left="0" w:leftChars="0" w:firstLine="643" w:firstLineChars="200"/>
        <w:textAlignment w:val="auto"/>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b/>
          <w:bCs/>
          <w:color w:val="0F1115"/>
          <w:sz w:val="32"/>
          <w:szCs w:val="32"/>
          <w:shd w:val="clear" w:color="auto" w:fill="FFFFFF"/>
        </w:rPr>
        <w:t>公共服务类：</w:t>
      </w:r>
      <w:r>
        <w:rPr>
          <w:rFonts w:hint="eastAsia" w:ascii="仿宋_GB2312" w:hAnsi="仿宋_GB2312" w:eastAsia="仿宋_GB2312" w:cs="仿宋_GB2312"/>
          <w:color w:val="0F1115"/>
          <w:sz w:val="32"/>
          <w:szCs w:val="32"/>
          <w:shd w:val="clear" w:color="auto" w:fill="FFFFFF"/>
        </w:rPr>
        <w:t>教育用地2宗、医疗卫生用地1宗，补齐公共服务短板；机关团体用地2宗、社会福利用地2宗、殡葬用地1宗、宗教用地1宗，完善社会福利与便民服务设施。</w:t>
      </w:r>
    </w:p>
    <w:p w14:paraId="68F92C91">
      <w:pPr>
        <w:pStyle w:val="7"/>
        <w:keepNext w:val="0"/>
        <w:keepLines w:val="0"/>
        <w:pageBreakBefore w:val="0"/>
        <w:widowControl/>
        <w:shd w:val="clear" w:color="auto" w:fill="FFFFFF"/>
        <w:kinsoku/>
        <w:wordWrap/>
        <w:overflowPunct/>
        <w:topLinePunct w:val="0"/>
        <w:autoSpaceDE/>
        <w:autoSpaceDN/>
        <w:bidi w:val="0"/>
        <w:adjustRightInd w:val="0"/>
        <w:snapToGrid w:val="0"/>
        <w:spacing w:line="580" w:lineRule="exact"/>
        <w:ind w:left="0" w:leftChars="0" w:firstLine="643" w:firstLineChars="200"/>
        <w:textAlignment w:val="auto"/>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b/>
          <w:bCs/>
          <w:color w:val="0F1115"/>
          <w:sz w:val="32"/>
          <w:szCs w:val="32"/>
          <w:shd w:val="clear" w:color="auto" w:fill="FFFFFF"/>
        </w:rPr>
        <w:t>基础设施类</w:t>
      </w:r>
      <w:r>
        <w:rPr>
          <w:rFonts w:hint="eastAsia" w:ascii="仿宋_GB2312" w:hAnsi="仿宋_GB2312" w:eastAsia="仿宋_GB2312" w:cs="仿宋_GB2312"/>
          <w:color w:val="0F1115"/>
          <w:sz w:val="32"/>
          <w:szCs w:val="32"/>
          <w:shd w:val="clear" w:color="auto" w:fill="FFFFFF"/>
        </w:rPr>
        <w:t>：公共交通场站用地</w:t>
      </w:r>
      <w:r>
        <w:rPr>
          <w:rFonts w:hint="eastAsia" w:ascii="仿宋_GB2312" w:hAnsi="仿宋_GB2312" w:eastAsia="仿宋_GB2312" w:cs="仿宋_GB2312"/>
          <w:color w:val="0F1115"/>
          <w:sz w:val="32"/>
          <w:szCs w:val="32"/>
          <w:shd w:val="clear" w:color="auto" w:fill="FFFFFF"/>
          <w:lang w:val="en-US" w:eastAsia="zh-CN"/>
        </w:rPr>
        <w:t>2</w:t>
      </w:r>
      <w:r>
        <w:rPr>
          <w:rFonts w:hint="eastAsia" w:ascii="仿宋_GB2312" w:hAnsi="仿宋_GB2312" w:eastAsia="仿宋_GB2312" w:cs="仿宋_GB2312"/>
          <w:color w:val="0F1115"/>
          <w:sz w:val="32"/>
          <w:szCs w:val="32"/>
          <w:shd w:val="clear" w:color="auto" w:fill="FFFFFF"/>
        </w:rPr>
        <w:t>宗、城镇村道路用地4宗、社会停车场用地</w:t>
      </w:r>
      <w:r>
        <w:rPr>
          <w:rFonts w:hint="eastAsia" w:ascii="仿宋_GB2312" w:hAnsi="仿宋_GB2312" w:eastAsia="仿宋_GB2312" w:cs="仿宋_GB2312"/>
          <w:color w:val="0F1115"/>
          <w:sz w:val="32"/>
          <w:szCs w:val="32"/>
          <w:shd w:val="clear" w:color="auto" w:fill="FFFFFF"/>
          <w:lang w:val="en-US" w:eastAsia="zh-CN"/>
        </w:rPr>
        <w:t>5</w:t>
      </w:r>
      <w:r>
        <w:rPr>
          <w:rFonts w:hint="eastAsia" w:ascii="仿宋_GB2312" w:hAnsi="仿宋_GB2312" w:eastAsia="仿宋_GB2312" w:cs="仿宋_GB2312"/>
          <w:color w:val="0F1115"/>
          <w:sz w:val="32"/>
          <w:szCs w:val="32"/>
          <w:shd w:val="clear" w:color="auto" w:fill="FFFFFF"/>
        </w:rPr>
        <w:t>宗，进一步优化完善城市交通体系。</w:t>
      </w:r>
    </w:p>
    <w:p w14:paraId="46551CD6">
      <w:pPr>
        <w:pStyle w:val="7"/>
        <w:keepNext w:val="0"/>
        <w:keepLines w:val="0"/>
        <w:pageBreakBefore w:val="0"/>
        <w:widowControl/>
        <w:shd w:val="clear" w:color="auto" w:fill="FFFFFF"/>
        <w:kinsoku/>
        <w:wordWrap/>
        <w:overflowPunct/>
        <w:topLinePunct w:val="0"/>
        <w:autoSpaceDE/>
        <w:autoSpaceDN/>
        <w:bidi w:val="0"/>
        <w:adjustRightInd w:val="0"/>
        <w:snapToGrid w:val="0"/>
        <w:spacing w:line="580" w:lineRule="exact"/>
        <w:ind w:left="0" w:leftChars="0" w:firstLine="643" w:firstLineChars="200"/>
        <w:textAlignment w:val="auto"/>
        <w:rPr>
          <w:rFonts w:hint="eastAsia"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b/>
          <w:bCs/>
          <w:color w:val="0F1115"/>
          <w:sz w:val="32"/>
          <w:szCs w:val="32"/>
          <w:shd w:val="clear" w:color="auto" w:fill="FFFFFF"/>
        </w:rPr>
        <w:t>产业仓储类：</w:t>
      </w:r>
      <w:r>
        <w:rPr>
          <w:rFonts w:hint="eastAsia" w:ascii="仿宋_GB2312" w:hAnsi="仿宋_GB2312" w:eastAsia="仿宋_GB2312" w:cs="仿宋_GB2312"/>
          <w:color w:val="0F1115"/>
          <w:sz w:val="32"/>
          <w:szCs w:val="32"/>
          <w:shd w:val="clear" w:color="auto" w:fill="FFFFFF"/>
        </w:rPr>
        <w:t>物流仓储用地</w:t>
      </w:r>
      <w:r>
        <w:rPr>
          <w:rFonts w:hint="eastAsia" w:ascii="仿宋_GB2312" w:hAnsi="仿宋_GB2312" w:eastAsia="仿宋_GB2312" w:cs="仿宋_GB2312"/>
          <w:color w:val="0F1115"/>
          <w:sz w:val="32"/>
          <w:szCs w:val="32"/>
          <w:shd w:val="clear" w:color="auto" w:fill="FFFFFF"/>
          <w:lang w:val="en-US" w:eastAsia="zh-CN"/>
        </w:rPr>
        <w:t>10</w:t>
      </w:r>
      <w:r>
        <w:rPr>
          <w:rFonts w:hint="eastAsia" w:ascii="仿宋_GB2312" w:hAnsi="仿宋_GB2312" w:eastAsia="仿宋_GB2312" w:cs="仿宋_GB2312"/>
          <w:color w:val="0F1115"/>
          <w:sz w:val="32"/>
          <w:szCs w:val="32"/>
          <w:shd w:val="clear" w:color="auto" w:fill="FFFFFF"/>
        </w:rPr>
        <w:t>宗，保障物流配送与应急物资储备；工业用地3宗，服务产业项目落地。</w:t>
      </w:r>
    </w:p>
    <w:p w14:paraId="1D271189">
      <w:pPr>
        <w:pStyle w:val="7"/>
        <w:keepNext w:val="0"/>
        <w:keepLines w:val="0"/>
        <w:pageBreakBefore w:val="0"/>
        <w:widowControl/>
        <w:shd w:val="clear" w:color="auto" w:fill="FFFFFF"/>
        <w:kinsoku/>
        <w:wordWrap/>
        <w:overflowPunct/>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仿宋_GB2312" w:cs="Times New Roman"/>
          <w:color w:val="222222"/>
          <w:spacing w:val="20"/>
          <w:sz w:val="31"/>
          <w:szCs w:val="31"/>
        </w:rPr>
      </w:pPr>
      <w:r>
        <w:rPr>
          <w:rFonts w:hint="eastAsia" w:ascii="仿宋_GB2312" w:hAnsi="仿宋_GB2312" w:eastAsia="仿宋_GB2312" w:cs="仿宋_GB2312"/>
          <w:b/>
          <w:bCs/>
          <w:color w:val="0F1115"/>
          <w:sz w:val="32"/>
          <w:szCs w:val="32"/>
          <w:shd w:val="clear" w:color="auto" w:fill="FFFFFF"/>
        </w:rPr>
        <w:t>生态休闲类：</w:t>
      </w:r>
      <w:r>
        <w:rPr>
          <w:rFonts w:hint="eastAsia" w:ascii="仿宋_GB2312" w:hAnsi="仿宋_GB2312" w:eastAsia="仿宋_GB2312" w:cs="仿宋_GB2312"/>
          <w:color w:val="0F1115"/>
          <w:sz w:val="32"/>
          <w:szCs w:val="32"/>
          <w:shd w:val="clear" w:color="auto" w:fill="FFFFFF"/>
        </w:rPr>
        <w:t>公园绿地13宗，落实“口袋公园”建设，有效提升人均公园绿地指标；商业用地</w:t>
      </w:r>
      <w:r>
        <w:rPr>
          <w:rFonts w:hint="eastAsia" w:ascii="仿宋_GB2312" w:hAnsi="仿宋_GB2312" w:eastAsia="仿宋_GB2312" w:cs="仿宋_GB2312"/>
          <w:color w:val="0F1115"/>
          <w:sz w:val="32"/>
          <w:szCs w:val="32"/>
          <w:shd w:val="clear" w:color="auto" w:fill="FFFFFF"/>
          <w:lang w:val="en-US" w:eastAsia="zh-CN"/>
        </w:rPr>
        <w:t>4</w:t>
      </w:r>
      <w:r>
        <w:rPr>
          <w:rFonts w:hint="eastAsia" w:ascii="仿宋_GB2312" w:hAnsi="仿宋_GB2312" w:eastAsia="仿宋_GB2312" w:cs="仿宋_GB2312"/>
          <w:color w:val="0F1115"/>
          <w:sz w:val="32"/>
          <w:szCs w:val="32"/>
          <w:shd w:val="clear" w:color="auto" w:fill="FFFFFF"/>
        </w:rPr>
        <w:t>宗，丰富城市商业服务功能</w:t>
      </w:r>
      <w:r>
        <w:rPr>
          <w:rFonts w:hint="default" w:ascii="Times New Roman" w:hAnsi="Times New Roman" w:eastAsia="仿宋_GB2312" w:cs="Times New Roman"/>
          <w:color w:val="222222"/>
          <w:spacing w:val="20"/>
          <w:sz w:val="31"/>
          <w:szCs w:val="31"/>
        </w:rPr>
        <w:t>。</w:t>
      </w:r>
    </w:p>
    <w:p w14:paraId="5F14D38E">
      <w:pPr>
        <w:pStyle w:val="8"/>
        <w:rPr>
          <w:rFonts w:hint="default" w:ascii="Times New Roman" w:hAnsi="Times New Roman" w:cs="Times New Roman"/>
        </w:rPr>
      </w:pPr>
    </w:p>
    <w:p w14:paraId="1836D3BE">
      <w:pPr>
        <w:pStyle w:val="2"/>
        <w:widowControl/>
        <w:spacing w:beforeAutospacing="0" w:afterAutospacing="0" w:line="560" w:lineRule="exact"/>
        <w:ind w:firstLine="640" w:firstLineChars="200"/>
        <w:rPr>
          <w:rFonts w:hint="default" w:ascii="Times New Roman" w:hAnsi="Times New Roman" w:eastAsia="黑体" w:cs="Times New Roman"/>
          <w:b w:val="0"/>
          <w:bCs w:val="0"/>
          <w:color w:val="000000"/>
          <w:sz w:val="32"/>
          <w:szCs w:val="32"/>
        </w:rPr>
      </w:pPr>
      <w:r>
        <w:rPr>
          <w:rFonts w:hint="default" w:ascii="Times New Roman" w:hAnsi="Times New Roman" w:eastAsia="黑体" w:cs="Times New Roman"/>
          <w:b w:val="0"/>
          <w:bCs w:val="0"/>
          <w:color w:val="000000"/>
          <w:sz w:val="32"/>
          <w:szCs w:val="32"/>
          <w:lang w:eastAsia="zh-CN"/>
        </w:rPr>
        <w:t>（三）</w:t>
      </w:r>
      <w:r>
        <w:rPr>
          <w:rFonts w:hint="default" w:ascii="Times New Roman" w:hAnsi="Times New Roman" w:eastAsia="黑体" w:cs="Times New Roman"/>
          <w:b w:val="0"/>
          <w:bCs w:val="0"/>
          <w:color w:val="000000"/>
          <w:sz w:val="32"/>
          <w:szCs w:val="32"/>
        </w:rPr>
        <w:t>规划用途分区维护</w:t>
      </w:r>
    </w:p>
    <w:p w14:paraId="52EE3050">
      <w:pPr>
        <w:pStyle w:val="3"/>
        <w:spacing w:line="294" w:lineRule="auto"/>
        <w:rPr>
          <w:rFonts w:hint="default" w:ascii="Times New Roman" w:hAnsi="Times New Roman" w:cs="Times New Roman"/>
        </w:rPr>
      </w:pPr>
    </w:p>
    <w:p w14:paraId="172A5FF6">
      <w:pPr>
        <w:spacing w:before="102" w:line="357" w:lineRule="auto"/>
        <w:ind w:left="31" w:right="13" w:firstLine="640"/>
        <w:jc w:val="both"/>
        <w:rPr>
          <w:rFonts w:hint="default" w:ascii="Times New Roman" w:hAnsi="Times New Roman" w:eastAsia="仿宋_GB2312" w:cs="Times New Roman"/>
          <w:color w:val="222222"/>
          <w:spacing w:val="20"/>
          <w:sz w:val="31"/>
          <w:szCs w:val="31"/>
        </w:rPr>
      </w:pPr>
      <w:r>
        <w:rPr>
          <w:rFonts w:hint="default" w:ascii="Times New Roman" w:hAnsi="Times New Roman" w:eastAsia="仿宋_GB2312" w:cs="Times New Roman"/>
          <w:color w:val="222222"/>
          <w:spacing w:val="20"/>
          <w:sz w:val="31"/>
          <w:szCs w:val="31"/>
        </w:rPr>
        <w:t>现行《总体规划》，严格落实主体功能区战略要求，统筹兼顾</w:t>
      </w:r>
      <w:r>
        <w:rPr>
          <w:rFonts w:hint="eastAsia" w:ascii="Times New Roman" w:hAnsi="Times New Roman" w:eastAsia="仿宋_GB2312" w:cs="Times New Roman"/>
          <w:color w:val="222222"/>
          <w:spacing w:val="20"/>
          <w:sz w:val="31"/>
          <w:szCs w:val="31"/>
          <w:lang w:eastAsia="zh-CN"/>
        </w:rPr>
        <w:t>县</w:t>
      </w:r>
      <w:r>
        <w:rPr>
          <w:rFonts w:hint="default" w:ascii="Times New Roman" w:hAnsi="Times New Roman" w:eastAsia="仿宋_GB2312" w:cs="Times New Roman"/>
          <w:color w:val="222222"/>
          <w:spacing w:val="20"/>
          <w:sz w:val="31"/>
          <w:szCs w:val="31"/>
        </w:rPr>
        <w:t>域范围内国土空间的生态保护、资源利用与建设发展需求，在</w:t>
      </w:r>
      <w:r>
        <w:rPr>
          <w:rFonts w:hint="eastAsia" w:ascii="Times New Roman" w:hAnsi="Times New Roman" w:eastAsia="仿宋_GB2312" w:cs="Times New Roman"/>
          <w:color w:val="222222"/>
          <w:spacing w:val="20"/>
          <w:sz w:val="31"/>
          <w:szCs w:val="31"/>
          <w:lang w:eastAsia="zh-CN"/>
        </w:rPr>
        <w:t>县</w:t>
      </w:r>
      <w:r>
        <w:rPr>
          <w:rFonts w:hint="default" w:ascii="Times New Roman" w:hAnsi="Times New Roman" w:eastAsia="仿宋_GB2312" w:cs="Times New Roman"/>
          <w:color w:val="222222"/>
          <w:spacing w:val="20"/>
          <w:sz w:val="31"/>
          <w:szCs w:val="31"/>
        </w:rPr>
        <w:t>域层面科学划定为农田保护区、生态保护区、生态控制区、城镇发展区、乡村发展区等五大用途分区，明确各分区管控导向与管制规则，强化国土空间用途结构优化与集约高效利用引导，构建全域统筹、分类管控的空间利用格局。</w:t>
      </w:r>
    </w:p>
    <w:p w14:paraId="367AC1F3">
      <w:pPr>
        <w:spacing w:before="102" w:line="357" w:lineRule="auto"/>
        <w:ind w:left="31" w:right="13" w:firstLine="640"/>
        <w:jc w:val="both"/>
        <w:rPr>
          <w:rFonts w:hint="default" w:ascii="Times New Roman" w:hAnsi="Times New Roman" w:eastAsia="仿宋_GB2312" w:cs="Times New Roman"/>
          <w:color w:val="222222"/>
          <w:spacing w:val="20"/>
          <w:sz w:val="31"/>
          <w:szCs w:val="31"/>
        </w:rPr>
      </w:pPr>
      <w:r>
        <w:rPr>
          <w:rFonts w:hint="default" w:ascii="Times New Roman" w:hAnsi="Times New Roman" w:eastAsia="仿宋_GB2312" w:cs="Times New Roman"/>
          <w:color w:val="222222"/>
          <w:spacing w:val="20"/>
          <w:sz w:val="31"/>
          <w:szCs w:val="31"/>
        </w:rPr>
        <w:t>本次规划用途分区动态维护，严格遵循国土空间规划管控要求，与三条控制线动态维护成果、中心城区用地用海规划布局优化调整内容充分衔接、同步更新，进一步细化完善规划用途分区边界与管控内涵，提升国土空间用途管制的科学性、精准性与可实施性，为</w:t>
      </w:r>
      <w:r>
        <w:rPr>
          <w:rFonts w:hint="default" w:ascii="Times New Roman" w:hAnsi="Times New Roman" w:eastAsia="仿宋_GB2312" w:cs="Times New Roman"/>
          <w:color w:val="222222"/>
          <w:spacing w:val="20"/>
          <w:sz w:val="31"/>
          <w:szCs w:val="31"/>
          <w:lang w:eastAsia="zh-CN"/>
        </w:rPr>
        <w:t>集贤</w:t>
      </w:r>
      <w:r>
        <w:rPr>
          <w:rFonts w:hint="default" w:ascii="Times New Roman" w:hAnsi="Times New Roman" w:eastAsia="仿宋_GB2312" w:cs="Times New Roman"/>
          <w:color w:val="222222"/>
          <w:spacing w:val="20"/>
          <w:sz w:val="31"/>
          <w:szCs w:val="31"/>
        </w:rPr>
        <w:t>县全域国土空间保护、开发、利用、修复提供坚实的规划依据与管控支撑。</w:t>
      </w:r>
    </w:p>
    <w:p w14:paraId="2DA8DCC4">
      <w:pPr>
        <w:pStyle w:val="3"/>
        <w:keepNext w:val="0"/>
        <w:keepLines w:val="0"/>
        <w:pageBreakBefore w:val="0"/>
        <w:widowControl/>
        <w:kinsoku w:val="0"/>
        <w:wordWrap/>
        <w:overflowPunct/>
        <w:topLinePunct w:val="0"/>
        <w:autoSpaceDE w:val="0"/>
        <w:autoSpaceDN w:val="0"/>
        <w:bidi w:val="0"/>
        <w:adjustRightInd w:val="0"/>
        <w:snapToGrid w:val="0"/>
        <w:spacing w:before="0" w:beforeLines="100" w:after="0" w:afterLines="100" w:line="435" w:lineRule="exact"/>
        <w:ind w:left="692"/>
        <w:textAlignment w:val="baseline"/>
        <w:rPr>
          <w:rFonts w:hint="default" w:ascii="Times New Roman" w:hAnsi="Times New Roman" w:eastAsia="仿宋_GB2312" w:cs="Times New Roman"/>
          <w:sz w:val="31"/>
          <w:szCs w:val="31"/>
        </w:rPr>
      </w:pPr>
      <w:r>
        <w:rPr>
          <w:rFonts w:hint="default" w:ascii="Times New Roman" w:hAnsi="Times New Roman" w:eastAsia="仿宋_GB2312" w:cs="Times New Roman"/>
          <w:b/>
          <w:bCs/>
          <w:color w:val="222222"/>
          <w:spacing w:val="-8"/>
          <w:position w:val="2"/>
          <w:sz w:val="31"/>
          <w:szCs w:val="31"/>
        </w:rPr>
        <w:t>1、农田保护区</w:t>
      </w:r>
    </w:p>
    <w:p w14:paraId="0BA0B052">
      <w:pPr>
        <w:spacing w:before="51" w:line="356" w:lineRule="auto"/>
        <w:ind w:left="37" w:right="11" w:firstLine="634"/>
        <w:rPr>
          <w:rFonts w:hint="default" w:ascii="Times New Roman" w:hAnsi="Times New Roman" w:eastAsia="仿宋_GB2312" w:cs="Times New Roman"/>
          <w:color w:val="222222"/>
          <w:spacing w:val="22"/>
          <w:sz w:val="31"/>
          <w:szCs w:val="31"/>
        </w:rPr>
      </w:pPr>
      <w:r>
        <w:rPr>
          <w:rFonts w:hint="default" w:ascii="Times New Roman" w:hAnsi="Times New Roman" w:eastAsia="仿宋_GB2312" w:cs="Times New Roman"/>
          <w:color w:val="222222"/>
          <w:spacing w:val="22"/>
          <w:sz w:val="31"/>
          <w:szCs w:val="31"/>
        </w:rPr>
        <w:t>将永久基本农田保护区整体划入农田保护区，划定面积</w:t>
      </w:r>
      <w:r>
        <w:rPr>
          <w:rFonts w:hint="default" w:ascii="Times New Roman" w:hAnsi="Times New Roman" w:eastAsia="仿宋_GB2312" w:cs="Times New Roman"/>
          <w:snapToGrid w:val="0"/>
          <w:color w:val="000000"/>
          <w:spacing w:val="17"/>
          <w:kern w:val="0"/>
          <w:sz w:val="31"/>
          <w:szCs w:val="31"/>
          <w:lang w:val="en-US" w:eastAsia="zh-CN" w:bidi="ar-SA"/>
        </w:rPr>
        <w:t>137680.00</w:t>
      </w:r>
      <w:r>
        <w:rPr>
          <w:rFonts w:hint="default" w:ascii="Times New Roman" w:hAnsi="Times New Roman" w:eastAsia="仿宋_GB2312" w:cs="Times New Roman"/>
          <w:color w:val="222222"/>
          <w:spacing w:val="22"/>
          <w:sz w:val="31"/>
          <w:szCs w:val="31"/>
          <w:lang w:val="en-US" w:eastAsia="zh-CN"/>
        </w:rPr>
        <w:t>公顷</w:t>
      </w:r>
      <w:r>
        <w:rPr>
          <w:rFonts w:hint="default" w:ascii="Times New Roman" w:hAnsi="Times New Roman" w:eastAsia="仿宋_GB2312" w:cs="Times New Roman"/>
          <w:color w:val="222222"/>
          <w:spacing w:val="22"/>
          <w:sz w:val="31"/>
          <w:szCs w:val="31"/>
        </w:rPr>
        <w:t>，占县域国土面积</w:t>
      </w:r>
      <w:r>
        <w:rPr>
          <w:rFonts w:hint="default" w:ascii="Times New Roman" w:hAnsi="Times New Roman" w:eastAsia="仿宋_GB2312" w:cs="Times New Roman"/>
          <w:snapToGrid w:val="0"/>
          <w:color w:val="000000"/>
          <w:spacing w:val="17"/>
          <w:kern w:val="0"/>
          <w:sz w:val="31"/>
          <w:szCs w:val="31"/>
          <w:lang w:val="en-US" w:eastAsia="zh-CN" w:bidi="ar-SA"/>
        </w:rPr>
        <w:t>62.11</w:t>
      </w:r>
      <w:r>
        <w:rPr>
          <w:rFonts w:hint="default" w:ascii="Times New Roman" w:hAnsi="Times New Roman" w:eastAsia="仿宋_GB2312" w:cs="Times New Roman"/>
          <w:color w:val="222222"/>
          <w:spacing w:val="22"/>
          <w:sz w:val="31"/>
          <w:szCs w:val="31"/>
        </w:rPr>
        <w:t>%，是保障国家粮食安全与重要农产品供给的核心区域。</w:t>
      </w:r>
    </w:p>
    <w:p w14:paraId="1DDE16A7">
      <w:pPr>
        <w:spacing w:before="51" w:line="356" w:lineRule="auto"/>
        <w:ind w:left="37" w:right="11" w:firstLine="634"/>
        <w:rPr>
          <w:rFonts w:hint="default" w:ascii="Times New Roman" w:hAnsi="Times New Roman" w:eastAsia="仿宋_GB2312" w:cs="Times New Roman"/>
          <w:sz w:val="31"/>
          <w:szCs w:val="31"/>
        </w:rPr>
      </w:pPr>
      <w:r>
        <w:rPr>
          <w:rFonts w:hint="default" w:ascii="Times New Roman" w:hAnsi="Times New Roman" w:eastAsia="仿宋_GB2312" w:cs="Times New Roman"/>
          <w:color w:val="222222"/>
          <w:spacing w:val="21"/>
          <w:sz w:val="31"/>
          <w:szCs w:val="31"/>
        </w:rPr>
        <w:t>本分区实行最严格的耕地保护制度，依据《基本农田保护条例》等法律法规实施特殊管控：严禁非农建设占用永久基本农田，严控耕地转为其他农用地，严格落实占补平衡与进出平衡。以高标准农田建设为抓手，系统推进土地整治综合利用及耕地质量提升，稳定粮食种植面积，完善农田基础设施，着力打造集中连片、旱涝保收、节水高效、稳产高产、生态友好的优质农田集中区，切实筑牢县域粮食安全根基</w:t>
      </w:r>
      <w:r>
        <w:rPr>
          <w:rFonts w:hint="default" w:ascii="Times New Roman" w:hAnsi="Times New Roman" w:eastAsia="仿宋_GB2312" w:cs="Times New Roman"/>
          <w:color w:val="222222"/>
          <w:spacing w:val="7"/>
          <w:sz w:val="31"/>
          <w:szCs w:val="31"/>
        </w:rPr>
        <w:t>。</w:t>
      </w:r>
    </w:p>
    <w:p w14:paraId="40049E77">
      <w:pPr>
        <w:pStyle w:val="3"/>
        <w:keepNext w:val="0"/>
        <w:keepLines w:val="0"/>
        <w:pageBreakBefore w:val="0"/>
        <w:widowControl/>
        <w:kinsoku w:val="0"/>
        <w:wordWrap/>
        <w:overflowPunct/>
        <w:topLinePunct w:val="0"/>
        <w:autoSpaceDE w:val="0"/>
        <w:autoSpaceDN w:val="0"/>
        <w:bidi w:val="0"/>
        <w:adjustRightInd w:val="0"/>
        <w:snapToGrid w:val="0"/>
        <w:spacing w:before="0" w:beforeLines="100" w:after="0" w:afterLines="100" w:line="435" w:lineRule="exact"/>
        <w:ind w:left="692"/>
        <w:textAlignment w:val="baseline"/>
        <w:rPr>
          <w:rFonts w:hint="default" w:ascii="Times New Roman" w:hAnsi="Times New Roman" w:eastAsia="仿宋_GB2312" w:cs="Times New Roman"/>
          <w:b/>
          <w:bCs/>
          <w:color w:val="222222"/>
          <w:spacing w:val="-8"/>
          <w:position w:val="2"/>
          <w:sz w:val="31"/>
          <w:szCs w:val="31"/>
        </w:rPr>
      </w:pPr>
      <w:r>
        <w:rPr>
          <w:rFonts w:hint="default" w:ascii="Times New Roman" w:hAnsi="Times New Roman" w:eastAsia="仿宋_GB2312" w:cs="Times New Roman"/>
          <w:b/>
          <w:bCs/>
          <w:color w:val="222222"/>
          <w:spacing w:val="-8"/>
          <w:position w:val="2"/>
          <w:sz w:val="31"/>
          <w:szCs w:val="31"/>
        </w:rPr>
        <w:t>2、生态保护区</w:t>
      </w:r>
    </w:p>
    <w:p w14:paraId="72E85236">
      <w:pPr>
        <w:pStyle w:val="3"/>
        <w:spacing w:before="180" w:line="355" w:lineRule="auto"/>
        <w:ind w:left="31" w:right="11" w:firstLine="640"/>
        <w:rPr>
          <w:rFonts w:hint="default" w:ascii="Times New Roman" w:hAnsi="Times New Roman" w:eastAsia="仿宋_GB2312" w:cs="Times New Roman"/>
          <w:sz w:val="31"/>
          <w:szCs w:val="31"/>
        </w:rPr>
      </w:pPr>
      <w:r>
        <w:rPr>
          <w:rFonts w:hint="default" w:ascii="Times New Roman" w:hAnsi="Times New Roman" w:eastAsia="仿宋_GB2312" w:cs="Times New Roman"/>
          <w:color w:val="222222"/>
          <w:spacing w:val="22"/>
          <w:sz w:val="31"/>
          <w:szCs w:val="31"/>
        </w:rPr>
        <w:t>将</w:t>
      </w:r>
      <w:r>
        <w:rPr>
          <w:rFonts w:hint="default" w:ascii="Times New Roman" w:hAnsi="Times New Roman" w:eastAsia="仿宋_GB2312" w:cs="Times New Roman"/>
          <w:color w:val="222222"/>
          <w:spacing w:val="22"/>
          <w:sz w:val="31"/>
          <w:szCs w:val="31"/>
          <w:lang w:eastAsia="zh-CN"/>
        </w:rPr>
        <w:t>集贤</w:t>
      </w:r>
      <w:r>
        <w:rPr>
          <w:rFonts w:hint="default" w:ascii="Times New Roman" w:hAnsi="Times New Roman" w:eastAsia="仿宋_GB2312" w:cs="Times New Roman"/>
          <w:color w:val="222222"/>
          <w:spacing w:val="22"/>
          <w:sz w:val="31"/>
          <w:szCs w:val="31"/>
        </w:rPr>
        <w:t>县生态保护红线划为生态保护区，划定面积为</w:t>
      </w:r>
      <w:r>
        <w:rPr>
          <w:rFonts w:hint="default" w:ascii="Times New Roman" w:hAnsi="Times New Roman" w:eastAsia="仿宋_GB2312" w:cs="Times New Roman"/>
          <w:color w:val="222222"/>
          <w:spacing w:val="1"/>
          <w:sz w:val="31"/>
          <w:szCs w:val="31"/>
          <w:lang w:val="en-US" w:eastAsia="zh-CN"/>
        </w:rPr>
        <w:t>21215.00</w:t>
      </w:r>
      <w:r>
        <w:rPr>
          <w:rFonts w:hint="default" w:ascii="Times New Roman" w:hAnsi="Times New Roman" w:eastAsia="仿宋_GB2312" w:cs="Times New Roman"/>
          <w:color w:val="222222"/>
          <w:spacing w:val="1"/>
          <w:sz w:val="31"/>
          <w:szCs w:val="31"/>
          <w:lang w:eastAsia="zh-CN"/>
        </w:rPr>
        <w:t>公顷</w:t>
      </w:r>
      <w:r>
        <w:rPr>
          <w:rFonts w:hint="default" w:ascii="Times New Roman" w:hAnsi="Times New Roman" w:eastAsia="仿宋_GB2312" w:cs="Times New Roman"/>
          <w:color w:val="222222"/>
          <w:spacing w:val="1"/>
          <w:sz w:val="31"/>
          <w:szCs w:val="31"/>
        </w:rPr>
        <w:t>,占县域国土面积的</w:t>
      </w:r>
      <w:r>
        <w:rPr>
          <w:rFonts w:hint="default" w:ascii="Times New Roman" w:hAnsi="Times New Roman" w:eastAsia="仿宋_GB2312" w:cs="Times New Roman"/>
          <w:color w:val="222222"/>
          <w:spacing w:val="1"/>
          <w:sz w:val="31"/>
          <w:szCs w:val="31"/>
          <w:lang w:val="en-US" w:eastAsia="zh-CN"/>
        </w:rPr>
        <w:t>9.57</w:t>
      </w:r>
      <w:r>
        <w:rPr>
          <w:rFonts w:hint="default" w:ascii="Times New Roman" w:hAnsi="Times New Roman" w:eastAsia="仿宋_GB2312" w:cs="Times New Roman"/>
          <w:color w:val="222222"/>
          <w:spacing w:val="1"/>
          <w:sz w:val="31"/>
          <w:szCs w:val="31"/>
        </w:rPr>
        <w:t>%。区域涵</w:t>
      </w:r>
      <w:r>
        <w:rPr>
          <w:rFonts w:hint="default" w:ascii="Times New Roman" w:hAnsi="Times New Roman" w:eastAsia="仿宋_GB2312" w:cs="Times New Roman"/>
          <w:color w:val="222222"/>
          <w:sz w:val="31"/>
          <w:szCs w:val="31"/>
        </w:rPr>
        <w:t>盖黑龙江双鸭山安邦河自然保护区</w:t>
      </w:r>
      <w:r>
        <w:rPr>
          <w:rFonts w:hint="default" w:ascii="Times New Roman" w:hAnsi="Times New Roman" w:eastAsia="仿宋_GB2312" w:cs="Times New Roman"/>
          <w:color w:val="222222"/>
          <w:spacing w:val="9"/>
          <w:sz w:val="31"/>
          <w:szCs w:val="31"/>
        </w:rPr>
        <w:t>、黑龙江七星山国家级森林公园</w:t>
      </w:r>
      <w:r>
        <w:rPr>
          <w:rFonts w:hint="default" w:ascii="Times New Roman" w:hAnsi="Times New Roman" w:eastAsia="仿宋_GB2312" w:cs="Times New Roman"/>
          <w:color w:val="222222"/>
          <w:spacing w:val="21"/>
          <w:sz w:val="31"/>
          <w:szCs w:val="31"/>
        </w:rPr>
        <w:t>等重要自然保护地及其他生态保护红线内生态空间，是</w:t>
      </w:r>
      <w:r>
        <w:rPr>
          <w:rFonts w:hint="default" w:ascii="Times New Roman" w:hAnsi="Times New Roman" w:eastAsia="仿宋_GB2312" w:cs="Times New Roman"/>
          <w:color w:val="222222"/>
          <w:spacing w:val="21"/>
          <w:sz w:val="31"/>
          <w:szCs w:val="31"/>
          <w:lang w:eastAsia="zh-CN"/>
        </w:rPr>
        <w:t>安邦河</w:t>
      </w:r>
      <w:r>
        <w:rPr>
          <w:rFonts w:hint="default" w:ascii="Times New Roman" w:hAnsi="Times New Roman" w:eastAsia="仿宋_GB2312" w:cs="Times New Roman"/>
          <w:color w:val="222222"/>
          <w:spacing w:val="21"/>
          <w:sz w:val="31"/>
          <w:szCs w:val="31"/>
        </w:rPr>
        <w:t>流域重要生态屏障与</w:t>
      </w:r>
      <w:r>
        <w:rPr>
          <w:rFonts w:hint="default" w:ascii="Times New Roman" w:hAnsi="Times New Roman" w:eastAsia="仿宋_GB2312" w:cs="Times New Roman"/>
          <w:color w:val="222222"/>
          <w:spacing w:val="7"/>
          <w:sz w:val="31"/>
          <w:szCs w:val="31"/>
        </w:rPr>
        <w:t>生物多样性保护核心区。</w:t>
      </w:r>
    </w:p>
    <w:p w14:paraId="69EE6A7C">
      <w:pPr>
        <w:spacing w:before="23" w:line="355" w:lineRule="auto"/>
        <w:ind w:left="34" w:right="11" w:firstLine="638"/>
        <w:jc w:val="both"/>
        <w:rPr>
          <w:rFonts w:hint="default" w:ascii="Times New Roman" w:hAnsi="Times New Roman" w:eastAsia="仿宋_GB2312" w:cs="Times New Roman"/>
          <w:color w:val="222222"/>
          <w:spacing w:val="8"/>
          <w:sz w:val="31"/>
          <w:szCs w:val="31"/>
        </w:rPr>
      </w:pPr>
      <w:r>
        <w:rPr>
          <w:rFonts w:hint="default" w:ascii="Times New Roman" w:hAnsi="Times New Roman" w:eastAsia="仿宋_GB2312" w:cs="Times New Roman"/>
          <w:color w:val="222222"/>
          <w:spacing w:val="22"/>
          <w:sz w:val="31"/>
          <w:szCs w:val="31"/>
        </w:rPr>
        <w:t>本分区严格执行生态保护红线禁止开发、刚性管控要</w:t>
      </w:r>
      <w:r>
        <w:rPr>
          <w:rFonts w:hint="default" w:ascii="Times New Roman" w:hAnsi="Times New Roman" w:eastAsia="仿宋_GB2312" w:cs="Times New Roman"/>
          <w:color w:val="222222"/>
          <w:spacing w:val="21"/>
          <w:sz w:val="31"/>
          <w:szCs w:val="31"/>
        </w:rPr>
        <w:t>求，除国家重大战略项目外，严禁开展与生态保护无关的各类开发建设活动，全面维护湿地生态系统完整性与原真</w:t>
      </w:r>
      <w:r>
        <w:rPr>
          <w:rFonts w:hint="default" w:ascii="Times New Roman" w:hAnsi="Times New Roman" w:eastAsia="仿宋_GB2312" w:cs="Times New Roman"/>
          <w:color w:val="222222"/>
          <w:spacing w:val="8"/>
          <w:sz w:val="31"/>
          <w:szCs w:val="31"/>
        </w:rPr>
        <w:t>性，提升生态系统自我修复能力与生态服务功能。</w:t>
      </w:r>
    </w:p>
    <w:p w14:paraId="11F07F4C">
      <w:pPr>
        <w:pStyle w:val="3"/>
        <w:keepNext w:val="0"/>
        <w:keepLines w:val="0"/>
        <w:pageBreakBefore w:val="0"/>
        <w:widowControl/>
        <w:kinsoku w:val="0"/>
        <w:wordWrap/>
        <w:overflowPunct/>
        <w:topLinePunct w:val="0"/>
        <w:autoSpaceDE w:val="0"/>
        <w:autoSpaceDN w:val="0"/>
        <w:bidi w:val="0"/>
        <w:adjustRightInd w:val="0"/>
        <w:snapToGrid w:val="0"/>
        <w:spacing w:before="0" w:beforeLines="100" w:after="0" w:afterLines="100" w:line="435" w:lineRule="exact"/>
        <w:ind w:left="692"/>
        <w:textAlignment w:val="baseline"/>
        <w:rPr>
          <w:rFonts w:hint="default" w:ascii="Times New Roman" w:hAnsi="Times New Roman" w:eastAsia="仿宋_GB2312" w:cs="Times New Roman"/>
          <w:b/>
          <w:bCs/>
          <w:color w:val="222222"/>
          <w:spacing w:val="-8"/>
          <w:position w:val="2"/>
          <w:sz w:val="31"/>
          <w:szCs w:val="31"/>
        </w:rPr>
      </w:pPr>
      <w:r>
        <w:rPr>
          <w:rFonts w:hint="default" w:ascii="Times New Roman" w:hAnsi="Times New Roman" w:eastAsia="仿宋_GB2312" w:cs="Times New Roman"/>
          <w:b/>
          <w:bCs/>
          <w:color w:val="222222"/>
          <w:spacing w:val="-8"/>
          <w:position w:val="2"/>
          <w:sz w:val="31"/>
          <w:szCs w:val="31"/>
        </w:rPr>
        <w:t>3、生态控制区</w:t>
      </w:r>
    </w:p>
    <w:p w14:paraId="7B93D3D5">
      <w:pPr>
        <w:pStyle w:val="3"/>
        <w:spacing w:before="217" w:line="357" w:lineRule="auto"/>
        <w:ind w:left="35" w:right="11" w:firstLine="637"/>
        <w:jc w:val="both"/>
        <w:rPr>
          <w:rFonts w:hint="default" w:ascii="Times New Roman" w:hAnsi="Times New Roman" w:eastAsia="仿宋_GB2312" w:cs="Times New Roman"/>
          <w:sz w:val="31"/>
          <w:szCs w:val="31"/>
        </w:rPr>
      </w:pPr>
      <w:r>
        <w:rPr>
          <w:rFonts w:hint="default" w:ascii="Times New Roman" w:hAnsi="Times New Roman" w:eastAsia="仿宋_GB2312" w:cs="Times New Roman"/>
          <w:color w:val="222222"/>
          <w:spacing w:val="22"/>
          <w:sz w:val="31"/>
          <w:szCs w:val="31"/>
        </w:rPr>
        <w:t>将生态保护红线以外，需保留生态原貌、强化生态保</w:t>
      </w:r>
      <w:r>
        <w:rPr>
          <w:rFonts w:hint="default" w:ascii="Times New Roman" w:hAnsi="Times New Roman" w:eastAsia="仿宋_GB2312" w:cs="Times New Roman"/>
          <w:color w:val="222222"/>
          <w:spacing w:val="19"/>
          <w:sz w:val="31"/>
          <w:szCs w:val="31"/>
        </w:rPr>
        <w:t>育、限制开发建设的湿地、林地、陆地水域、</w:t>
      </w:r>
      <w:r>
        <w:rPr>
          <w:rFonts w:hint="default" w:ascii="Times New Roman" w:hAnsi="Times New Roman" w:eastAsia="仿宋_GB2312" w:cs="Times New Roman"/>
          <w:color w:val="222222"/>
          <w:spacing w:val="18"/>
          <w:sz w:val="31"/>
          <w:szCs w:val="31"/>
        </w:rPr>
        <w:t>生态廊道等</w:t>
      </w:r>
      <w:r>
        <w:rPr>
          <w:rFonts w:hint="default" w:ascii="Times New Roman" w:hAnsi="Times New Roman" w:eastAsia="仿宋_GB2312" w:cs="Times New Roman"/>
          <w:color w:val="222222"/>
          <w:spacing w:val="8"/>
          <w:sz w:val="31"/>
          <w:szCs w:val="31"/>
        </w:rPr>
        <w:t>重要生态空间划入生态控制区，面积</w:t>
      </w:r>
      <w:r>
        <w:rPr>
          <w:rFonts w:hint="default" w:ascii="Times New Roman" w:hAnsi="Times New Roman" w:eastAsia="仿宋_GB2312" w:cs="Times New Roman"/>
          <w:color w:val="222222"/>
          <w:spacing w:val="8"/>
          <w:sz w:val="31"/>
          <w:szCs w:val="31"/>
          <w:lang w:val="en-US" w:eastAsia="zh-CN"/>
        </w:rPr>
        <w:t>20892.02</w:t>
      </w:r>
      <w:r>
        <w:rPr>
          <w:rFonts w:hint="default" w:ascii="Times New Roman" w:hAnsi="Times New Roman" w:eastAsia="仿宋_GB2312" w:cs="Times New Roman"/>
          <w:color w:val="222222"/>
          <w:spacing w:val="8"/>
          <w:sz w:val="31"/>
          <w:szCs w:val="31"/>
          <w:lang w:eastAsia="zh-CN"/>
        </w:rPr>
        <w:t>公顷</w:t>
      </w:r>
      <w:r>
        <w:rPr>
          <w:rFonts w:hint="default" w:ascii="Times New Roman" w:hAnsi="Times New Roman" w:eastAsia="仿宋_GB2312" w:cs="Times New Roman"/>
          <w:color w:val="222222"/>
          <w:spacing w:val="8"/>
          <w:sz w:val="31"/>
          <w:szCs w:val="31"/>
        </w:rPr>
        <w:t>，占</w:t>
      </w:r>
      <w:r>
        <w:rPr>
          <w:rFonts w:hint="default" w:ascii="Times New Roman" w:hAnsi="Times New Roman" w:eastAsia="仿宋_GB2312" w:cs="Times New Roman"/>
          <w:color w:val="222222"/>
          <w:spacing w:val="-8"/>
          <w:sz w:val="31"/>
          <w:szCs w:val="31"/>
        </w:rPr>
        <w:t>县域国土面</w:t>
      </w:r>
      <w:r>
        <w:rPr>
          <w:rFonts w:hint="default" w:ascii="Times New Roman" w:hAnsi="Times New Roman" w:eastAsia="仿宋_GB2312" w:cs="Times New Roman"/>
          <w:snapToGrid w:val="0"/>
          <w:color w:val="222222"/>
          <w:spacing w:val="22"/>
          <w:kern w:val="0"/>
          <w:sz w:val="31"/>
          <w:szCs w:val="31"/>
          <w:lang w:val="en-US" w:eastAsia="en-US" w:bidi="ar-SA"/>
        </w:rPr>
        <w:t>积</w:t>
      </w:r>
      <w:r>
        <w:rPr>
          <w:rFonts w:hint="default" w:ascii="Times New Roman" w:hAnsi="Times New Roman" w:eastAsia="仿宋_GB2312" w:cs="Times New Roman"/>
          <w:color w:val="222222"/>
          <w:spacing w:val="8"/>
          <w:sz w:val="31"/>
          <w:szCs w:val="31"/>
          <w:lang w:val="en-US" w:eastAsia="zh-CN"/>
        </w:rPr>
        <w:t>9.42</w:t>
      </w:r>
      <w:r>
        <w:rPr>
          <w:rFonts w:hint="default" w:ascii="Times New Roman" w:hAnsi="Times New Roman" w:eastAsia="仿宋_GB2312" w:cs="Times New Roman"/>
          <w:color w:val="222222"/>
          <w:spacing w:val="8"/>
          <w:sz w:val="31"/>
          <w:szCs w:val="31"/>
          <w:lang w:val="en-US" w:eastAsia="en-US"/>
        </w:rPr>
        <w:t>%</w:t>
      </w:r>
      <w:r>
        <w:rPr>
          <w:rFonts w:hint="default" w:ascii="Times New Roman" w:hAnsi="Times New Roman" w:eastAsia="仿宋_GB2312" w:cs="Times New Roman"/>
          <w:snapToGrid w:val="0"/>
          <w:color w:val="222222"/>
          <w:spacing w:val="22"/>
          <w:kern w:val="0"/>
          <w:sz w:val="31"/>
          <w:szCs w:val="31"/>
          <w:lang w:val="en-US" w:eastAsia="en-US" w:bidi="ar-SA"/>
        </w:rPr>
        <w:t>。</w:t>
      </w:r>
    </w:p>
    <w:p w14:paraId="3A5B2FEA">
      <w:pPr>
        <w:spacing w:line="356" w:lineRule="auto"/>
        <w:ind w:left="41" w:right="11" w:firstLine="630"/>
        <w:jc w:val="both"/>
        <w:rPr>
          <w:rFonts w:hint="default" w:ascii="Times New Roman" w:hAnsi="Times New Roman" w:eastAsia="仿宋_GB2312" w:cs="Times New Roman"/>
          <w:sz w:val="31"/>
          <w:szCs w:val="31"/>
        </w:rPr>
      </w:pPr>
      <w:r>
        <w:rPr>
          <w:rFonts w:hint="default" w:ascii="Times New Roman" w:hAnsi="Times New Roman" w:eastAsia="仿宋_GB2312" w:cs="Times New Roman"/>
          <w:color w:val="222222"/>
          <w:spacing w:val="22"/>
          <w:sz w:val="31"/>
          <w:szCs w:val="31"/>
        </w:rPr>
        <w:t>本分区以生态保育、修复提升、适度利用为导向，重</w:t>
      </w:r>
      <w:r>
        <w:rPr>
          <w:rFonts w:hint="default" w:ascii="Times New Roman" w:hAnsi="Times New Roman" w:eastAsia="仿宋_GB2312" w:cs="Times New Roman"/>
          <w:color w:val="222222"/>
          <w:spacing w:val="21"/>
          <w:sz w:val="31"/>
          <w:szCs w:val="31"/>
        </w:rPr>
        <w:t>点开展林地保育、湿地保护修复、</w:t>
      </w:r>
      <w:r>
        <w:rPr>
          <w:rFonts w:hint="default" w:ascii="Times New Roman" w:hAnsi="Times New Roman" w:eastAsia="仿宋_GB2312" w:cs="Times New Roman"/>
          <w:color w:val="222222"/>
          <w:spacing w:val="21"/>
          <w:sz w:val="31"/>
          <w:szCs w:val="31"/>
          <w:lang w:eastAsia="zh-CN"/>
        </w:rPr>
        <w:t>安邦河</w:t>
      </w:r>
      <w:r>
        <w:rPr>
          <w:rFonts w:hint="default" w:ascii="Times New Roman" w:hAnsi="Times New Roman" w:eastAsia="仿宋_GB2312" w:cs="Times New Roman"/>
          <w:color w:val="222222"/>
          <w:spacing w:val="21"/>
          <w:sz w:val="31"/>
          <w:szCs w:val="31"/>
        </w:rPr>
        <w:t>水系连通与河道综合治理，严控开发强度与建设规模，禁止大规模城镇开发与工业建设，统筹生态保护与绿色休闲、生态农业等低影响利用，构建衔接生态保护区与生产生活空间的生态缓冲</w:t>
      </w:r>
      <w:r>
        <w:rPr>
          <w:rFonts w:hint="default" w:ascii="Times New Roman" w:hAnsi="Times New Roman" w:eastAsia="仿宋_GB2312" w:cs="Times New Roman"/>
          <w:color w:val="222222"/>
          <w:spacing w:val="7"/>
          <w:sz w:val="31"/>
          <w:szCs w:val="31"/>
        </w:rPr>
        <w:t>带，提升全域生态系统稳定性。</w:t>
      </w:r>
    </w:p>
    <w:p w14:paraId="0ED378FC">
      <w:pPr>
        <w:pStyle w:val="3"/>
        <w:keepNext w:val="0"/>
        <w:keepLines w:val="0"/>
        <w:pageBreakBefore w:val="0"/>
        <w:widowControl/>
        <w:kinsoku w:val="0"/>
        <w:wordWrap/>
        <w:overflowPunct/>
        <w:topLinePunct w:val="0"/>
        <w:autoSpaceDE w:val="0"/>
        <w:autoSpaceDN w:val="0"/>
        <w:bidi w:val="0"/>
        <w:adjustRightInd w:val="0"/>
        <w:snapToGrid w:val="0"/>
        <w:spacing w:before="0" w:beforeLines="100" w:after="0" w:afterLines="100" w:line="435" w:lineRule="exact"/>
        <w:ind w:left="692"/>
        <w:textAlignment w:val="baseline"/>
        <w:rPr>
          <w:rFonts w:hint="default" w:ascii="Times New Roman" w:hAnsi="Times New Roman" w:eastAsia="仿宋_GB2312" w:cs="Times New Roman"/>
          <w:b/>
          <w:bCs/>
          <w:color w:val="222222"/>
          <w:spacing w:val="-8"/>
          <w:position w:val="2"/>
          <w:sz w:val="31"/>
          <w:szCs w:val="31"/>
        </w:rPr>
      </w:pPr>
      <w:r>
        <w:rPr>
          <w:rFonts w:hint="default" w:ascii="Times New Roman" w:hAnsi="Times New Roman" w:eastAsia="仿宋_GB2312" w:cs="Times New Roman"/>
          <w:b/>
          <w:bCs/>
          <w:color w:val="222222"/>
          <w:spacing w:val="-8"/>
          <w:position w:val="2"/>
          <w:sz w:val="31"/>
          <w:szCs w:val="31"/>
        </w:rPr>
        <w:t>4、城镇发展区</w:t>
      </w:r>
    </w:p>
    <w:p w14:paraId="4B41E51B">
      <w:pPr>
        <w:pStyle w:val="3"/>
        <w:spacing w:before="162" w:line="359" w:lineRule="auto"/>
        <w:ind w:left="31" w:right="11" w:firstLine="643"/>
        <w:jc w:val="both"/>
        <w:rPr>
          <w:rFonts w:hint="default" w:ascii="Times New Roman" w:hAnsi="Times New Roman" w:eastAsia="仿宋_GB2312" w:cs="Times New Roman"/>
          <w:sz w:val="31"/>
          <w:szCs w:val="31"/>
        </w:rPr>
      </w:pPr>
      <w:r>
        <w:rPr>
          <w:rFonts w:hint="default" w:ascii="Times New Roman" w:hAnsi="Times New Roman" w:eastAsia="仿宋_GB2312" w:cs="Times New Roman"/>
          <w:color w:val="222222"/>
          <w:spacing w:val="13"/>
          <w:sz w:val="31"/>
          <w:szCs w:val="31"/>
        </w:rPr>
        <w:t>划定城镇发展区面积</w:t>
      </w:r>
      <w:r>
        <w:rPr>
          <w:rFonts w:hint="default" w:ascii="Times New Roman" w:hAnsi="Times New Roman" w:eastAsia="仿宋_GB2312" w:cs="Times New Roman"/>
          <w:color w:val="222222"/>
          <w:spacing w:val="13"/>
          <w:sz w:val="31"/>
          <w:szCs w:val="31"/>
          <w:lang w:val="en-US" w:eastAsia="zh-CN"/>
        </w:rPr>
        <w:t>5076.81公顷</w:t>
      </w:r>
      <w:r>
        <w:rPr>
          <w:rFonts w:hint="default" w:ascii="Times New Roman" w:hAnsi="Times New Roman" w:eastAsia="仿宋_GB2312" w:cs="Times New Roman"/>
          <w:color w:val="222222"/>
          <w:spacing w:val="13"/>
          <w:sz w:val="31"/>
          <w:szCs w:val="31"/>
        </w:rPr>
        <w:t>，占县域国土面</w:t>
      </w:r>
      <w:r>
        <w:rPr>
          <w:rFonts w:hint="default" w:ascii="Times New Roman" w:hAnsi="Times New Roman" w:eastAsia="仿宋_GB2312" w:cs="Times New Roman"/>
          <w:color w:val="222222"/>
          <w:spacing w:val="4"/>
          <w:sz w:val="31"/>
          <w:szCs w:val="31"/>
        </w:rPr>
        <w:t>积</w:t>
      </w:r>
      <w:r>
        <w:rPr>
          <w:rFonts w:hint="default" w:ascii="Times New Roman" w:hAnsi="Times New Roman" w:eastAsia="仿宋_GB2312" w:cs="Times New Roman"/>
          <w:color w:val="auto"/>
          <w:spacing w:val="4"/>
          <w:sz w:val="31"/>
          <w:szCs w:val="31"/>
          <w:lang w:val="en-US" w:eastAsia="zh-CN"/>
        </w:rPr>
        <w:t>2.29</w:t>
      </w:r>
      <w:r>
        <w:rPr>
          <w:rFonts w:hint="default" w:ascii="Times New Roman" w:hAnsi="Times New Roman" w:eastAsia="仿宋_GB2312" w:cs="Times New Roman"/>
          <w:color w:val="auto"/>
          <w:spacing w:val="4"/>
          <w:sz w:val="31"/>
          <w:szCs w:val="31"/>
        </w:rPr>
        <w:t>%</w:t>
      </w:r>
      <w:r>
        <w:rPr>
          <w:rFonts w:hint="default" w:ascii="Times New Roman" w:hAnsi="Times New Roman" w:eastAsia="仿宋_GB2312" w:cs="Times New Roman"/>
          <w:color w:val="222222"/>
          <w:spacing w:val="4"/>
          <w:sz w:val="31"/>
          <w:szCs w:val="31"/>
        </w:rPr>
        <w:t>。区域涵盖</w:t>
      </w:r>
      <w:r>
        <w:rPr>
          <w:rFonts w:hint="default" w:ascii="Times New Roman" w:hAnsi="Times New Roman" w:eastAsia="仿宋_GB2312" w:cs="Times New Roman"/>
          <w:color w:val="222222"/>
          <w:spacing w:val="4"/>
          <w:sz w:val="31"/>
          <w:szCs w:val="31"/>
          <w:lang w:eastAsia="zh-CN"/>
        </w:rPr>
        <w:t>集贤</w:t>
      </w:r>
      <w:r>
        <w:rPr>
          <w:rFonts w:hint="default" w:ascii="Times New Roman" w:hAnsi="Times New Roman" w:eastAsia="仿宋_GB2312" w:cs="Times New Roman"/>
          <w:color w:val="222222"/>
          <w:spacing w:val="4"/>
          <w:sz w:val="31"/>
          <w:szCs w:val="31"/>
        </w:rPr>
        <w:t>县中心城区、工业园</w:t>
      </w:r>
      <w:r>
        <w:rPr>
          <w:rFonts w:hint="default" w:ascii="Times New Roman" w:hAnsi="Times New Roman" w:eastAsia="仿宋_GB2312" w:cs="Times New Roman"/>
          <w:color w:val="222222"/>
          <w:spacing w:val="3"/>
          <w:sz w:val="31"/>
          <w:szCs w:val="31"/>
        </w:rPr>
        <w:t>区及</w:t>
      </w:r>
      <w:r>
        <w:rPr>
          <w:rFonts w:hint="default" w:ascii="Times New Roman" w:hAnsi="Times New Roman" w:eastAsia="仿宋_GB2312" w:cs="Times New Roman"/>
          <w:color w:val="222222"/>
          <w:spacing w:val="21"/>
          <w:sz w:val="31"/>
          <w:szCs w:val="31"/>
          <w:lang w:eastAsia="zh-CN"/>
        </w:rPr>
        <w:t>福利</w:t>
      </w:r>
      <w:r>
        <w:rPr>
          <w:rFonts w:hint="default" w:ascii="Times New Roman" w:hAnsi="Times New Roman" w:eastAsia="仿宋_GB2312" w:cs="Times New Roman"/>
          <w:color w:val="222222"/>
          <w:spacing w:val="21"/>
          <w:sz w:val="31"/>
          <w:szCs w:val="31"/>
        </w:rPr>
        <w:t>镇</w:t>
      </w:r>
      <w:r>
        <w:rPr>
          <w:rFonts w:hint="default" w:ascii="Times New Roman" w:hAnsi="Times New Roman" w:eastAsia="仿宋_GB2312" w:cs="Times New Roman"/>
          <w:color w:val="222222"/>
          <w:spacing w:val="21"/>
          <w:sz w:val="31"/>
          <w:szCs w:val="31"/>
          <w:lang w:eastAsia="zh-CN"/>
        </w:rPr>
        <w:t>等</w:t>
      </w:r>
      <w:r>
        <w:rPr>
          <w:rFonts w:hint="default" w:ascii="Times New Roman" w:hAnsi="Times New Roman" w:eastAsia="仿宋_GB2312" w:cs="Times New Roman"/>
          <w:color w:val="222222"/>
          <w:spacing w:val="3"/>
          <w:sz w:val="31"/>
          <w:szCs w:val="31"/>
        </w:rPr>
        <w:t>。</w:t>
      </w:r>
    </w:p>
    <w:p w14:paraId="3BC936BD">
      <w:pPr>
        <w:spacing w:before="1" w:line="356" w:lineRule="auto"/>
        <w:ind w:left="31" w:right="11" w:firstLine="640"/>
        <w:jc w:val="both"/>
        <w:rPr>
          <w:rFonts w:hint="default" w:ascii="Times New Roman" w:hAnsi="Times New Roman" w:eastAsia="仿宋_GB2312" w:cs="Times New Roman"/>
          <w:sz w:val="31"/>
          <w:szCs w:val="31"/>
        </w:rPr>
      </w:pPr>
      <w:r>
        <w:rPr>
          <w:rFonts w:hint="default" w:ascii="Times New Roman" w:hAnsi="Times New Roman" w:eastAsia="仿宋_GB2312" w:cs="Times New Roman"/>
          <w:color w:val="222222"/>
          <w:spacing w:val="22"/>
          <w:sz w:val="31"/>
          <w:szCs w:val="31"/>
        </w:rPr>
        <w:t>本分区严格遵循城镇开发边界管控规则，坚持集约高</w:t>
      </w:r>
      <w:r>
        <w:rPr>
          <w:rFonts w:hint="default" w:ascii="Times New Roman" w:hAnsi="Times New Roman" w:eastAsia="仿宋_GB2312" w:cs="Times New Roman"/>
          <w:color w:val="222222"/>
          <w:spacing w:val="21"/>
          <w:sz w:val="31"/>
          <w:szCs w:val="31"/>
        </w:rPr>
        <w:t>效、集聚发展，严控城乡建设用地无序扩张，合理拓展中心城区功能规模，适度保障产业园区与重点镇发展空间，引导人口与产业向城镇集中布局，推动产城融合、功能互补、分工协作，构建层级清晰、集约高效、特色鲜明的城</w:t>
      </w:r>
      <w:r>
        <w:rPr>
          <w:rFonts w:hint="default" w:ascii="Times New Roman" w:hAnsi="Times New Roman" w:eastAsia="仿宋_GB2312" w:cs="Times New Roman"/>
          <w:color w:val="222222"/>
          <w:spacing w:val="8"/>
          <w:sz w:val="31"/>
          <w:szCs w:val="31"/>
        </w:rPr>
        <w:t>镇体系，支撑县域新型城镇化高质量发展。</w:t>
      </w:r>
    </w:p>
    <w:p w14:paraId="384175CA">
      <w:pPr>
        <w:pStyle w:val="3"/>
        <w:keepNext w:val="0"/>
        <w:keepLines w:val="0"/>
        <w:pageBreakBefore w:val="0"/>
        <w:widowControl/>
        <w:kinsoku w:val="0"/>
        <w:wordWrap/>
        <w:overflowPunct/>
        <w:topLinePunct w:val="0"/>
        <w:autoSpaceDE w:val="0"/>
        <w:autoSpaceDN w:val="0"/>
        <w:bidi w:val="0"/>
        <w:adjustRightInd w:val="0"/>
        <w:snapToGrid w:val="0"/>
        <w:spacing w:before="0" w:beforeLines="100" w:after="0" w:afterLines="100" w:line="435" w:lineRule="exact"/>
        <w:ind w:left="692"/>
        <w:textAlignment w:val="baseline"/>
        <w:rPr>
          <w:rFonts w:hint="default" w:ascii="Times New Roman" w:hAnsi="Times New Roman" w:eastAsia="仿宋_GB2312" w:cs="Times New Roman"/>
          <w:b/>
          <w:bCs/>
          <w:color w:val="222222"/>
          <w:spacing w:val="-8"/>
          <w:position w:val="2"/>
          <w:sz w:val="31"/>
          <w:szCs w:val="31"/>
        </w:rPr>
      </w:pPr>
      <w:r>
        <w:rPr>
          <w:rFonts w:hint="default" w:ascii="Times New Roman" w:hAnsi="Times New Roman" w:eastAsia="仿宋_GB2312" w:cs="Times New Roman"/>
          <w:b/>
          <w:bCs/>
          <w:color w:val="222222"/>
          <w:spacing w:val="-8"/>
          <w:position w:val="2"/>
          <w:sz w:val="31"/>
          <w:szCs w:val="31"/>
        </w:rPr>
        <w:t>5、乡村发展区</w:t>
      </w:r>
    </w:p>
    <w:p w14:paraId="4CD552EE">
      <w:pPr>
        <w:spacing w:before="24" w:line="357" w:lineRule="auto"/>
        <w:ind w:left="31" w:right="11" w:firstLine="640"/>
        <w:rPr>
          <w:rFonts w:hint="default" w:ascii="Times New Roman" w:hAnsi="Times New Roman" w:eastAsia="仿宋_GB2312" w:cs="Times New Roman"/>
          <w:color w:val="222222"/>
          <w:spacing w:val="22"/>
          <w:sz w:val="31"/>
          <w:szCs w:val="31"/>
        </w:rPr>
      </w:pPr>
      <w:r>
        <w:rPr>
          <w:rFonts w:hint="default" w:ascii="Times New Roman" w:hAnsi="Times New Roman" w:eastAsia="仿宋_GB2312" w:cs="Times New Roman"/>
          <w:color w:val="222222"/>
          <w:spacing w:val="22"/>
          <w:sz w:val="31"/>
          <w:szCs w:val="31"/>
        </w:rPr>
        <w:t>划定乡村发展区面积</w:t>
      </w:r>
      <w:r>
        <w:rPr>
          <w:rFonts w:hint="default" w:ascii="Times New Roman" w:hAnsi="Times New Roman" w:eastAsia="仿宋_GB2312" w:cs="Times New Roman"/>
          <w:snapToGrid w:val="0"/>
          <w:color w:val="222222"/>
          <w:spacing w:val="13"/>
          <w:kern w:val="0"/>
          <w:sz w:val="31"/>
          <w:szCs w:val="31"/>
          <w:lang w:val="en-US" w:eastAsia="zh-CN" w:bidi="ar-SA"/>
        </w:rPr>
        <w:t>36226.45</w:t>
      </w:r>
      <w:r>
        <w:rPr>
          <w:rFonts w:hint="default" w:ascii="Times New Roman" w:hAnsi="Times New Roman" w:eastAsia="仿宋_GB2312" w:cs="Times New Roman"/>
          <w:color w:val="222222"/>
          <w:spacing w:val="22"/>
          <w:sz w:val="31"/>
          <w:szCs w:val="31"/>
          <w:lang w:val="en-US" w:eastAsia="zh-CN"/>
        </w:rPr>
        <w:t>公顷</w:t>
      </w:r>
      <w:r>
        <w:rPr>
          <w:rFonts w:hint="default" w:ascii="Times New Roman" w:hAnsi="Times New Roman" w:eastAsia="仿宋_GB2312" w:cs="Times New Roman"/>
          <w:color w:val="222222"/>
          <w:spacing w:val="22"/>
          <w:sz w:val="31"/>
          <w:szCs w:val="31"/>
        </w:rPr>
        <w:t>，占县域国土面积</w:t>
      </w:r>
      <w:r>
        <w:rPr>
          <w:rFonts w:hint="default" w:ascii="Times New Roman" w:hAnsi="Times New Roman" w:eastAsia="仿宋_GB2312" w:cs="Times New Roman"/>
          <w:snapToGrid w:val="0"/>
          <w:color w:val="222222"/>
          <w:spacing w:val="13"/>
          <w:kern w:val="0"/>
          <w:sz w:val="31"/>
          <w:szCs w:val="31"/>
          <w:lang w:val="en-US" w:eastAsia="zh-CN" w:bidi="ar-SA"/>
        </w:rPr>
        <w:t>16.34%</w:t>
      </w:r>
      <w:r>
        <w:rPr>
          <w:rFonts w:hint="default" w:ascii="Times New Roman" w:hAnsi="Times New Roman" w:eastAsia="仿宋_GB2312" w:cs="Times New Roman"/>
          <w:color w:val="222222"/>
          <w:spacing w:val="22"/>
          <w:sz w:val="31"/>
          <w:szCs w:val="31"/>
        </w:rPr>
        <w:t>，</w:t>
      </w:r>
      <w:r>
        <w:rPr>
          <w:rFonts w:hint="default" w:ascii="Times New Roman" w:hAnsi="Times New Roman" w:eastAsia="仿宋_GB2312" w:cs="Times New Roman"/>
          <w:color w:val="222222"/>
          <w:spacing w:val="22"/>
          <w:sz w:val="31"/>
          <w:szCs w:val="31"/>
          <w:lang w:val="en-US" w:eastAsia="zh-CN"/>
        </w:rPr>
        <w:t>包括城镇开发边界外的村庄建设用地区域；以生产发展为主要利用功能导向的一般农业区；以规模化林业生产为主要利用功能导向的林业发展区；及其他点状布局的建设用地。</w:t>
      </w:r>
    </w:p>
    <w:p w14:paraId="515996A9">
      <w:pPr>
        <w:spacing w:before="24" w:line="357" w:lineRule="auto"/>
        <w:ind w:left="31" w:right="11" w:firstLine="640"/>
        <w:rPr>
          <w:rFonts w:hint="default" w:ascii="Times New Roman" w:hAnsi="Times New Roman" w:eastAsia="仿宋_GB2312" w:cs="Times New Roman"/>
          <w:sz w:val="31"/>
          <w:szCs w:val="31"/>
        </w:rPr>
      </w:pPr>
      <w:r>
        <w:rPr>
          <w:rFonts w:hint="default" w:ascii="Times New Roman" w:hAnsi="Times New Roman" w:eastAsia="仿宋_GB2312" w:cs="Times New Roman"/>
          <w:color w:val="222222"/>
          <w:spacing w:val="22"/>
          <w:sz w:val="31"/>
          <w:szCs w:val="31"/>
        </w:rPr>
        <w:t>本分区以乡村振兴、农牧融合、宜居宜业为目标，统</w:t>
      </w:r>
      <w:r>
        <w:rPr>
          <w:rFonts w:hint="default" w:ascii="Times New Roman" w:hAnsi="Times New Roman" w:eastAsia="仿宋_GB2312" w:cs="Times New Roman"/>
          <w:color w:val="222222"/>
          <w:spacing w:val="21"/>
          <w:sz w:val="31"/>
          <w:szCs w:val="31"/>
        </w:rPr>
        <w:t>筹村庄建设、农业生产、生态保护与乡村产业发展，支持</w:t>
      </w:r>
      <w:r>
        <w:rPr>
          <w:rFonts w:hint="default" w:ascii="Times New Roman" w:hAnsi="Times New Roman" w:eastAsia="仿宋_GB2312" w:cs="Times New Roman"/>
          <w:color w:val="222222"/>
          <w:spacing w:val="19"/>
          <w:sz w:val="31"/>
          <w:szCs w:val="31"/>
        </w:rPr>
        <w:t>农业现代化、乡村特色产业及其配套设施建设</w:t>
      </w:r>
      <w:r>
        <w:rPr>
          <w:rFonts w:hint="default" w:ascii="Times New Roman" w:hAnsi="Times New Roman" w:eastAsia="仿宋_GB2312" w:cs="Times New Roman"/>
          <w:color w:val="222222"/>
          <w:spacing w:val="18"/>
          <w:sz w:val="31"/>
          <w:szCs w:val="31"/>
        </w:rPr>
        <w:t>，有序推进</w:t>
      </w:r>
      <w:r>
        <w:rPr>
          <w:rFonts w:hint="default" w:ascii="Times New Roman" w:hAnsi="Times New Roman" w:eastAsia="仿宋_GB2312" w:cs="Times New Roman"/>
          <w:color w:val="222222"/>
          <w:spacing w:val="21"/>
          <w:sz w:val="31"/>
          <w:szCs w:val="31"/>
        </w:rPr>
        <w:t>农村人居环境整治、村庄基础设施完善与公共服务提质。严格按照人均村庄建设用地标准管控用地规模，严禁集中连片城镇开发建设，促进乡村空间集约利用、风貌特色保</w:t>
      </w:r>
      <w:r>
        <w:rPr>
          <w:rFonts w:hint="default" w:ascii="Times New Roman" w:hAnsi="Times New Roman" w:eastAsia="仿宋_GB2312" w:cs="Times New Roman"/>
          <w:color w:val="222222"/>
          <w:spacing w:val="18"/>
          <w:sz w:val="31"/>
          <w:szCs w:val="31"/>
        </w:rPr>
        <w:t>护与农牧产业提质增效，打造产业兴旺、生态宜居、乡风</w:t>
      </w:r>
      <w:r>
        <w:rPr>
          <w:rFonts w:hint="default" w:ascii="Times New Roman" w:hAnsi="Times New Roman" w:eastAsia="仿宋_GB2312" w:cs="Times New Roman"/>
          <w:color w:val="222222"/>
          <w:spacing w:val="8"/>
          <w:sz w:val="31"/>
          <w:szCs w:val="31"/>
        </w:rPr>
        <w:t>文明、治理有效、生活富裕的现代化乡村空间。</w:t>
      </w:r>
    </w:p>
    <w:p w14:paraId="08042A1A">
      <w:pPr>
        <w:pStyle w:val="2"/>
        <w:widowControl/>
        <w:spacing w:beforeAutospacing="0" w:afterAutospacing="0" w:line="560" w:lineRule="exact"/>
        <w:ind w:firstLine="640" w:firstLineChars="200"/>
        <w:rPr>
          <w:rFonts w:hint="default" w:ascii="Times New Roman" w:hAnsi="Times New Roman" w:eastAsia="黑体" w:cs="Times New Roman"/>
          <w:b w:val="0"/>
          <w:bCs w:val="0"/>
          <w:color w:val="000000"/>
          <w:sz w:val="32"/>
          <w:szCs w:val="32"/>
        </w:rPr>
      </w:pPr>
      <w:r>
        <w:rPr>
          <w:rFonts w:hint="default" w:ascii="Times New Roman" w:hAnsi="Times New Roman" w:eastAsia="黑体" w:cs="Times New Roman"/>
          <w:b w:val="0"/>
          <w:bCs w:val="0"/>
          <w:color w:val="000000"/>
          <w:sz w:val="32"/>
          <w:szCs w:val="32"/>
          <w:lang w:eastAsia="zh-CN"/>
        </w:rPr>
        <w:t>（四）</w:t>
      </w:r>
      <w:r>
        <w:rPr>
          <w:rFonts w:hint="default" w:ascii="Times New Roman" w:hAnsi="Times New Roman" w:eastAsia="黑体" w:cs="Times New Roman"/>
          <w:b w:val="0"/>
          <w:bCs w:val="0"/>
          <w:color w:val="000000"/>
          <w:sz w:val="32"/>
          <w:szCs w:val="32"/>
        </w:rPr>
        <w:t>重点建设项目清单维护</w:t>
      </w:r>
    </w:p>
    <w:p w14:paraId="67A032D9">
      <w:pPr>
        <w:pStyle w:val="3"/>
        <w:spacing w:line="287" w:lineRule="auto"/>
        <w:rPr>
          <w:rFonts w:hint="default" w:ascii="Times New Roman" w:hAnsi="Times New Roman" w:cs="Times New Roman"/>
        </w:rPr>
      </w:pPr>
    </w:p>
    <w:p w14:paraId="77957375">
      <w:pPr>
        <w:pStyle w:val="3"/>
        <w:spacing w:before="101" w:line="355" w:lineRule="auto"/>
        <w:ind w:left="34" w:right="11" w:firstLine="608"/>
        <w:jc w:val="both"/>
        <w:rPr>
          <w:rFonts w:hint="default" w:ascii="Times New Roman" w:hAnsi="Times New Roman" w:eastAsia="仿宋_GB2312" w:cs="Times New Roman"/>
          <w:sz w:val="31"/>
          <w:szCs w:val="31"/>
        </w:rPr>
      </w:pPr>
      <w:r>
        <w:rPr>
          <w:rFonts w:hint="default" w:ascii="Times New Roman" w:hAnsi="Times New Roman" w:eastAsia="仿宋_GB2312" w:cs="Times New Roman"/>
          <w:color w:val="222222"/>
          <w:spacing w:val="7"/>
          <w:sz w:val="31"/>
          <w:szCs w:val="31"/>
        </w:rPr>
        <w:t>“十五五”期间2026年以后拟计划实施</w:t>
      </w:r>
      <w:r>
        <w:rPr>
          <w:rFonts w:hint="default" w:ascii="Times New Roman" w:hAnsi="Times New Roman" w:eastAsia="仿宋_GB2312" w:cs="Times New Roman"/>
          <w:color w:val="222222"/>
          <w:spacing w:val="6"/>
          <w:sz w:val="31"/>
          <w:szCs w:val="31"/>
        </w:rPr>
        <w:t>的重点建设项</w:t>
      </w:r>
      <w:r>
        <w:rPr>
          <w:rFonts w:hint="default" w:ascii="Times New Roman" w:hAnsi="Times New Roman" w:eastAsia="仿宋_GB2312" w:cs="Times New Roman"/>
          <w:color w:val="222222"/>
          <w:spacing w:val="18"/>
          <w:sz w:val="31"/>
          <w:szCs w:val="31"/>
        </w:rPr>
        <w:t>目，涵盖产业发展、城市建设、民生保障、基础设施等多</w:t>
      </w:r>
      <w:r>
        <w:rPr>
          <w:rFonts w:hint="default" w:ascii="Times New Roman" w:hAnsi="Times New Roman" w:eastAsia="仿宋_GB2312" w:cs="Times New Roman"/>
          <w:color w:val="222222"/>
          <w:spacing w:val="4"/>
          <w:sz w:val="31"/>
          <w:szCs w:val="31"/>
        </w:rPr>
        <w:t>个关键领域。</w:t>
      </w:r>
    </w:p>
    <w:p w14:paraId="674D1405">
      <w:pPr>
        <w:spacing w:line="355" w:lineRule="auto"/>
        <w:ind w:firstLine="640" w:firstLineChars="200"/>
        <w:rPr>
          <w:rFonts w:hint="default" w:ascii="Times New Roman" w:hAnsi="Times New Roman" w:eastAsia="仿宋_GB2312" w:cs="Times New Roman"/>
          <w:sz w:val="31"/>
          <w:szCs w:val="31"/>
        </w:rPr>
        <w:sectPr>
          <w:pgSz w:w="11906" w:h="16839"/>
          <w:pgMar w:top="1134" w:right="1134" w:bottom="1134" w:left="1134" w:header="0" w:footer="0" w:gutter="0"/>
          <w:cols w:space="720" w:num="1"/>
        </w:sectPr>
      </w:pPr>
      <w:r>
        <w:rPr>
          <w:rFonts w:hint="default" w:ascii="Times New Roman" w:hAnsi="Times New Roman" w:eastAsia="仿宋_GB2312" w:cs="Times New Roman"/>
          <w:i w:val="0"/>
          <w:iCs w:val="0"/>
          <w:caps w:val="0"/>
          <w:color w:val="000000"/>
          <w:spacing w:val="0"/>
          <w:sz w:val="32"/>
          <w:szCs w:val="32"/>
          <w:shd w:val="clear" w:fill="FFFFFF"/>
        </w:rPr>
        <w:t>结合</w:t>
      </w:r>
      <w:r>
        <w:rPr>
          <w:rFonts w:hint="default" w:ascii="Times New Roman" w:hAnsi="Times New Roman" w:eastAsia="仿宋_GB2312" w:cs="Times New Roman"/>
          <w:i w:val="0"/>
          <w:iCs w:val="0"/>
          <w:caps w:val="0"/>
          <w:color w:val="000000"/>
          <w:spacing w:val="0"/>
          <w:sz w:val="32"/>
          <w:szCs w:val="32"/>
          <w:shd w:val="clear" w:fill="FFFFFF"/>
          <w:lang w:eastAsia="zh-CN"/>
        </w:rPr>
        <w:t>集贤</w:t>
      </w:r>
      <w:r>
        <w:rPr>
          <w:rFonts w:hint="default" w:ascii="Times New Roman" w:hAnsi="Times New Roman" w:eastAsia="仿宋_GB2312" w:cs="Times New Roman"/>
          <w:i w:val="0"/>
          <w:iCs w:val="0"/>
          <w:caps w:val="0"/>
          <w:color w:val="000000"/>
          <w:spacing w:val="0"/>
          <w:sz w:val="32"/>
          <w:szCs w:val="32"/>
          <w:shd w:val="clear" w:fill="FFFFFF"/>
        </w:rPr>
        <w:t>县国民经济和社会发展规划和相关专项规划确定的建设项目，将2026年建设项目和“十五五”规划重点建设项目纳入国土空间总体规划重点建设项目安排表，其中拟于2026年底前开工建设、已充分论证的建设项目，纳入近期建设项目图层精准上图，未明确选址的项目纳入重点建设项目安排表。在</w:t>
      </w:r>
      <w:r>
        <w:rPr>
          <w:rFonts w:hint="default" w:ascii="Times New Roman" w:hAnsi="Times New Roman" w:eastAsia="仿宋_GB2312" w:cs="Times New Roman"/>
          <w:i w:val="0"/>
          <w:iCs w:val="0"/>
          <w:caps w:val="0"/>
          <w:color w:val="000000"/>
          <w:spacing w:val="0"/>
          <w:sz w:val="32"/>
          <w:szCs w:val="32"/>
          <w:shd w:val="clear" w:fill="FFFFFF"/>
          <w:lang w:eastAsia="zh-CN"/>
        </w:rPr>
        <w:t>集贤县</w:t>
      </w:r>
      <w:r>
        <w:rPr>
          <w:rFonts w:hint="default" w:ascii="Times New Roman" w:hAnsi="Times New Roman" w:eastAsia="仿宋_GB2312" w:cs="Times New Roman"/>
          <w:i w:val="0"/>
          <w:iCs w:val="0"/>
          <w:caps w:val="0"/>
          <w:color w:val="000000"/>
          <w:spacing w:val="0"/>
          <w:sz w:val="32"/>
          <w:szCs w:val="32"/>
          <w:shd w:val="clear" w:fill="FFFFFF"/>
        </w:rPr>
        <w:t>现行国土空间总体规划重点建设项目的基础上，新增</w:t>
      </w:r>
      <w:r>
        <w:rPr>
          <w:rFonts w:hint="default" w:ascii="Times New Roman" w:hAnsi="Times New Roman" w:eastAsia="仿宋_GB2312" w:cs="Times New Roman"/>
          <w:i w:val="0"/>
          <w:iCs w:val="0"/>
          <w:caps w:val="0"/>
          <w:color w:val="000000"/>
          <w:spacing w:val="0"/>
          <w:sz w:val="32"/>
          <w:szCs w:val="32"/>
          <w:shd w:val="clear" w:fill="FFFFFF"/>
          <w:lang w:val="en-US" w:eastAsia="zh-CN"/>
        </w:rPr>
        <w:t>51</w:t>
      </w:r>
      <w:r>
        <w:rPr>
          <w:rFonts w:hint="eastAsia" w:ascii="Times New Roman" w:hAnsi="Times New Roman" w:eastAsia="仿宋_GB2312" w:cs="Times New Roman"/>
          <w:i w:val="0"/>
          <w:iCs w:val="0"/>
          <w:caps w:val="0"/>
          <w:color w:val="000000"/>
          <w:spacing w:val="0"/>
          <w:sz w:val="32"/>
          <w:szCs w:val="32"/>
          <w:shd w:val="clear" w:fill="FFFFFF"/>
          <w:lang w:val="en-US" w:eastAsia="zh-CN"/>
        </w:rPr>
        <w:t>4</w:t>
      </w:r>
      <w:r>
        <w:rPr>
          <w:rFonts w:hint="default" w:ascii="Times New Roman" w:hAnsi="Times New Roman" w:eastAsia="仿宋_GB2312" w:cs="Times New Roman"/>
          <w:i w:val="0"/>
          <w:iCs w:val="0"/>
          <w:caps w:val="0"/>
          <w:color w:val="000000"/>
          <w:spacing w:val="0"/>
          <w:sz w:val="32"/>
          <w:szCs w:val="32"/>
          <w:shd w:val="clear" w:fill="FFFFFF"/>
        </w:rPr>
        <w:t>项重点建设项目，动态维护后，重点建设项目充分保障</w:t>
      </w:r>
      <w:r>
        <w:rPr>
          <w:rFonts w:hint="default" w:ascii="Times New Roman" w:hAnsi="Times New Roman" w:eastAsia="仿宋_GB2312" w:cs="Times New Roman"/>
          <w:i w:val="0"/>
          <w:iCs w:val="0"/>
          <w:caps w:val="0"/>
          <w:color w:val="000000"/>
          <w:spacing w:val="0"/>
          <w:sz w:val="32"/>
          <w:szCs w:val="32"/>
          <w:shd w:val="clear" w:fill="FFFFFF"/>
          <w:lang w:eastAsia="zh-CN"/>
        </w:rPr>
        <w:t>集贤</w:t>
      </w:r>
      <w:r>
        <w:rPr>
          <w:rFonts w:hint="default" w:ascii="Times New Roman" w:hAnsi="Times New Roman" w:eastAsia="仿宋_GB2312" w:cs="Times New Roman"/>
          <w:i w:val="0"/>
          <w:iCs w:val="0"/>
          <w:caps w:val="0"/>
          <w:color w:val="000000"/>
          <w:spacing w:val="0"/>
          <w:sz w:val="32"/>
          <w:szCs w:val="32"/>
          <w:shd w:val="clear" w:fill="FFFFFF"/>
        </w:rPr>
        <w:t>县“十五五”高质量发展空间需求。</w:t>
      </w:r>
    </w:p>
    <w:p w14:paraId="0878FD7F">
      <w:pPr>
        <w:spacing w:before="181" w:line="226" w:lineRule="auto"/>
        <w:ind w:left="45"/>
        <w:outlineLvl w:val="1"/>
        <w:rPr>
          <w:rFonts w:hint="default" w:ascii="Times New Roman" w:hAnsi="Times New Roman" w:eastAsia="KaiTi_GB2312" w:cs="Times New Roman"/>
          <w:sz w:val="35"/>
          <w:szCs w:val="35"/>
        </w:rPr>
      </w:pPr>
      <w:r>
        <w:rPr>
          <w:rFonts w:hint="default" w:ascii="Times New Roman" w:hAnsi="Times New Roman" w:eastAsia="KaiTi_GB2312" w:cs="Times New Roman"/>
          <w:b/>
          <w:bCs/>
          <w:spacing w:val="-10"/>
          <w:sz w:val="35"/>
          <w:szCs w:val="35"/>
        </w:rPr>
        <w:t>附图</w:t>
      </w:r>
    </w:p>
    <w:p w14:paraId="22B38789">
      <w:pPr>
        <w:pStyle w:val="3"/>
        <w:spacing w:line="260" w:lineRule="auto"/>
        <w:rPr>
          <w:rFonts w:hint="default" w:ascii="Times New Roman" w:hAnsi="Times New Roman" w:cs="Times New Roman"/>
        </w:rPr>
      </w:pPr>
    </w:p>
    <w:p w14:paraId="696039E3">
      <w:pPr>
        <w:pStyle w:val="3"/>
        <w:spacing w:before="101" w:line="436" w:lineRule="exact"/>
        <w:ind w:left="691"/>
        <w:rPr>
          <w:rFonts w:hint="default" w:ascii="Times New Roman" w:hAnsi="Times New Roman" w:eastAsia="仿宋" w:cs="Times New Roman"/>
          <w:sz w:val="31"/>
          <w:szCs w:val="31"/>
        </w:rPr>
      </w:pPr>
      <w:r>
        <w:rPr>
          <w:rFonts w:hint="default" w:ascii="Times New Roman" w:hAnsi="Times New Roman" w:cs="Times New Roman"/>
          <w:color w:val="222222"/>
          <w:spacing w:val="10"/>
          <w:position w:val="2"/>
          <w:sz w:val="31"/>
          <w:szCs w:val="31"/>
        </w:rPr>
        <w:t>1.</w:t>
      </w:r>
      <w:r>
        <w:rPr>
          <w:rFonts w:hint="default" w:ascii="Times New Roman" w:hAnsi="Times New Roman" w:eastAsia="仿宋" w:cs="Times New Roman"/>
          <w:color w:val="222222"/>
          <w:spacing w:val="10"/>
          <w:position w:val="2"/>
          <w:sz w:val="31"/>
          <w:szCs w:val="31"/>
        </w:rPr>
        <w:t>永久基本农田维护后图</w:t>
      </w:r>
    </w:p>
    <w:p w14:paraId="119A49B3">
      <w:pPr>
        <w:pStyle w:val="3"/>
        <w:spacing w:before="164" w:line="435" w:lineRule="exact"/>
        <w:ind w:left="668"/>
        <w:rPr>
          <w:rFonts w:hint="default" w:ascii="Times New Roman" w:hAnsi="Times New Roman" w:eastAsia="仿宋" w:cs="Times New Roman"/>
          <w:sz w:val="31"/>
          <w:szCs w:val="31"/>
        </w:rPr>
      </w:pPr>
      <w:r>
        <w:rPr>
          <w:rFonts w:hint="default" w:ascii="Times New Roman" w:hAnsi="Times New Roman" w:cs="Times New Roman"/>
          <w:color w:val="222222"/>
          <w:spacing w:val="11"/>
          <w:position w:val="2"/>
          <w:sz w:val="31"/>
          <w:szCs w:val="31"/>
        </w:rPr>
        <w:t>2.</w:t>
      </w:r>
      <w:r>
        <w:rPr>
          <w:rFonts w:hint="default" w:ascii="Times New Roman" w:hAnsi="Times New Roman" w:eastAsia="仿宋" w:cs="Times New Roman"/>
          <w:color w:val="222222"/>
          <w:spacing w:val="11"/>
          <w:position w:val="2"/>
          <w:sz w:val="31"/>
          <w:szCs w:val="31"/>
        </w:rPr>
        <w:t>城镇开发边界维护后图</w:t>
      </w:r>
    </w:p>
    <w:p w14:paraId="1A0ABE7B">
      <w:pPr>
        <w:pStyle w:val="3"/>
        <w:spacing w:before="164" w:line="436" w:lineRule="exact"/>
        <w:ind w:left="667"/>
        <w:rPr>
          <w:rFonts w:hint="default" w:ascii="Times New Roman" w:hAnsi="Times New Roman" w:eastAsia="仿宋" w:cs="Times New Roman"/>
          <w:sz w:val="31"/>
          <w:szCs w:val="31"/>
        </w:rPr>
      </w:pPr>
      <w:r>
        <w:rPr>
          <w:rFonts w:hint="default" w:ascii="Times New Roman" w:hAnsi="Times New Roman" w:cs="Times New Roman"/>
          <w:color w:val="222222"/>
          <w:spacing w:val="12"/>
          <w:position w:val="2"/>
          <w:sz w:val="31"/>
          <w:szCs w:val="31"/>
        </w:rPr>
        <w:t>3.</w:t>
      </w:r>
      <w:r>
        <w:rPr>
          <w:rFonts w:hint="default" w:ascii="Times New Roman" w:hAnsi="Times New Roman" w:eastAsia="仿宋" w:cs="Times New Roman"/>
          <w:color w:val="222222"/>
          <w:spacing w:val="12"/>
          <w:position w:val="2"/>
          <w:sz w:val="31"/>
          <w:szCs w:val="31"/>
        </w:rPr>
        <w:t>规划用途分区维护后图</w:t>
      </w:r>
    </w:p>
    <w:p w14:paraId="760DD12C">
      <w:pPr>
        <w:spacing w:line="436" w:lineRule="exact"/>
        <w:rPr>
          <w:rFonts w:hint="default" w:ascii="Times New Roman" w:hAnsi="Times New Roman" w:eastAsia="仿宋" w:cs="Times New Roman"/>
          <w:sz w:val="31"/>
          <w:szCs w:val="31"/>
        </w:rPr>
      </w:pPr>
    </w:p>
    <w:p w14:paraId="7F0E4525">
      <w:pPr>
        <w:spacing w:line="436" w:lineRule="exact"/>
        <w:rPr>
          <w:rFonts w:hint="default" w:ascii="Times New Roman" w:hAnsi="Times New Roman" w:eastAsia="仿宋" w:cs="Times New Roman"/>
          <w:sz w:val="31"/>
          <w:szCs w:val="31"/>
        </w:rPr>
      </w:pPr>
    </w:p>
    <w:p w14:paraId="0E357611">
      <w:pPr>
        <w:spacing w:line="436" w:lineRule="exact"/>
        <w:rPr>
          <w:rFonts w:hint="default" w:ascii="Times New Roman" w:hAnsi="Times New Roman" w:eastAsia="仿宋" w:cs="Times New Roman"/>
          <w:sz w:val="31"/>
          <w:szCs w:val="31"/>
        </w:rPr>
      </w:pPr>
    </w:p>
    <w:p w14:paraId="51A6F77F">
      <w:pPr>
        <w:spacing w:line="436" w:lineRule="exact"/>
        <w:rPr>
          <w:rFonts w:hint="default" w:ascii="Times New Roman" w:hAnsi="Times New Roman" w:eastAsia="仿宋" w:cs="Times New Roman"/>
          <w:sz w:val="31"/>
          <w:szCs w:val="31"/>
        </w:rPr>
      </w:pPr>
    </w:p>
    <w:p w14:paraId="0073316C">
      <w:pPr>
        <w:spacing w:line="436" w:lineRule="exact"/>
        <w:rPr>
          <w:rFonts w:hint="default" w:ascii="Times New Roman" w:hAnsi="Times New Roman" w:eastAsia="仿宋" w:cs="Times New Roman"/>
          <w:sz w:val="31"/>
          <w:szCs w:val="31"/>
        </w:rPr>
      </w:pPr>
    </w:p>
    <w:p w14:paraId="64C44678">
      <w:pPr>
        <w:spacing w:line="436" w:lineRule="exact"/>
        <w:rPr>
          <w:rFonts w:hint="default" w:ascii="Times New Roman" w:hAnsi="Times New Roman" w:eastAsia="仿宋" w:cs="Times New Roman"/>
          <w:sz w:val="31"/>
          <w:szCs w:val="31"/>
        </w:rPr>
      </w:pPr>
    </w:p>
    <w:p w14:paraId="1249573C">
      <w:pPr>
        <w:spacing w:line="436" w:lineRule="exact"/>
        <w:rPr>
          <w:rFonts w:hint="default" w:ascii="Times New Roman" w:hAnsi="Times New Roman" w:eastAsia="仿宋" w:cs="Times New Roman"/>
          <w:sz w:val="31"/>
          <w:szCs w:val="31"/>
        </w:rPr>
      </w:pPr>
    </w:p>
    <w:p w14:paraId="55F94158">
      <w:pPr>
        <w:spacing w:line="436" w:lineRule="exact"/>
        <w:rPr>
          <w:rFonts w:hint="default" w:ascii="Times New Roman" w:hAnsi="Times New Roman" w:eastAsia="仿宋" w:cs="Times New Roman"/>
          <w:sz w:val="31"/>
          <w:szCs w:val="31"/>
        </w:rPr>
      </w:pPr>
    </w:p>
    <w:p w14:paraId="5FE729D5">
      <w:pPr>
        <w:spacing w:line="436" w:lineRule="exact"/>
        <w:rPr>
          <w:rFonts w:hint="default" w:ascii="Times New Roman" w:hAnsi="Times New Roman" w:eastAsia="仿宋" w:cs="Times New Roman"/>
          <w:sz w:val="31"/>
          <w:szCs w:val="31"/>
        </w:rPr>
      </w:pPr>
    </w:p>
    <w:p w14:paraId="76A2938F">
      <w:pPr>
        <w:spacing w:line="436" w:lineRule="exact"/>
        <w:rPr>
          <w:rFonts w:hint="default" w:ascii="Times New Roman" w:hAnsi="Times New Roman" w:eastAsia="仿宋" w:cs="Times New Roman"/>
          <w:sz w:val="31"/>
          <w:szCs w:val="31"/>
        </w:rPr>
      </w:pPr>
    </w:p>
    <w:p w14:paraId="347F55EB">
      <w:pPr>
        <w:spacing w:line="436" w:lineRule="exact"/>
        <w:rPr>
          <w:rFonts w:hint="default" w:ascii="Times New Roman" w:hAnsi="Times New Roman" w:eastAsia="仿宋" w:cs="Times New Roman"/>
          <w:sz w:val="31"/>
          <w:szCs w:val="31"/>
        </w:rPr>
      </w:pPr>
    </w:p>
    <w:p w14:paraId="0C6AA708">
      <w:pPr>
        <w:spacing w:line="436" w:lineRule="exact"/>
        <w:rPr>
          <w:rFonts w:hint="default" w:ascii="Times New Roman" w:hAnsi="Times New Roman" w:eastAsia="仿宋" w:cs="Times New Roman"/>
          <w:sz w:val="31"/>
          <w:szCs w:val="31"/>
        </w:rPr>
      </w:pPr>
    </w:p>
    <w:p w14:paraId="7014D34E">
      <w:pPr>
        <w:spacing w:line="436" w:lineRule="exact"/>
        <w:rPr>
          <w:rFonts w:hint="default" w:ascii="Times New Roman" w:hAnsi="Times New Roman" w:eastAsia="仿宋" w:cs="Times New Roman"/>
          <w:sz w:val="31"/>
          <w:szCs w:val="31"/>
        </w:rPr>
      </w:pPr>
    </w:p>
    <w:p w14:paraId="6124B326">
      <w:pPr>
        <w:spacing w:line="436" w:lineRule="exact"/>
        <w:rPr>
          <w:rFonts w:hint="default" w:ascii="Times New Roman" w:hAnsi="Times New Roman" w:eastAsia="仿宋" w:cs="Times New Roman"/>
          <w:sz w:val="31"/>
          <w:szCs w:val="31"/>
        </w:rPr>
      </w:pPr>
    </w:p>
    <w:p w14:paraId="79E78D63">
      <w:pPr>
        <w:spacing w:line="436" w:lineRule="exact"/>
        <w:rPr>
          <w:rFonts w:hint="default" w:ascii="Times New Roman" w:hAnsi="Times New Roman" w:eastAsia="仿宋" w:cs="Times New Roman"/>
          <w:sz w:val="31"/>
          <w:szCs w:val="31"/>
        </w:rPr>
      </w:pPr>
    </w:p>
    <w:p w14:paraId="0DACE386">
      <w:pPr>
        <w:spacing w:line="436" w:lineRule="exact"/>
        <w:rPr>
          <w:rFonts w:hint="default" w:ascii="Times New Roman" w:hAnsi="Times New Roman" w:eastAsia="仿宋" w:cs="Times New Roman"/>
          <w:sz w:val="31"/>
          <w:szCs w:val="31"/>
        </w:rPr>
      </w:pPr>
    </w:p>
    <w:p w14:paraId="0A59ED00">
      <w:pPr>
        <w:spacing w:line="436" w:lineRule="exact"/>
        <w:rPr>
          <w:rFonts w:hint="default" w:ascii="Times New Roman" w:hAnsi="Times New Roman" w:eastAsia="仿宋" w:cs="Times New Roman"/>
          <w:sz w:val="31"/>
          <w:szCs w:val="31"/>
        </w:rPr>
      </w:pPr>
    </w:p>
    <w:p w14:paraId="420FE880">
      <w:pPr>
        <w:spacing w:line="436" w:lineRule="exact"/>
        <w:rPr>
          <w:rFonts w:hint="default" w:ascii="Times New Roman" w:hAnsi="Times New Roman" w:eastAsia="仿宋" w:cs="Times New Roman"/>
          <w:sz w:val="31"/>
          <w:szCs w:val="31"/>
        </w:rPr>
      </w:pPr>
    </w:p>
    <w:p w14:paraId="6A11ABE4">
      <w:pPr>
        <w:spacing w:line="436" w:lineRule="exact"/>
        <w:rPr>
          <w:rFonts w:hint="default" w:ascii="Times New Roman" w:hAnsi="Times New Roman" w:eastAsia="仿宋" w:cs="Times New Roman"/>
          <w:sz w:val="31"/>
          <w:szCs w:val="31"/>
        </w:rPr>
      </w:pPr>
    </w:p>
    <w:p w14:paraId="30D44241">
      <w:pPr>
        <w:spacing w:line="436" w:lineRule="exact"/>
        <w:rPr>
          <w:rFonts w:hint="default" w:ascii="Times New Roman" w:hAnsi="Times New Roman" w:eastAsia="仿宋" w:cs="Times New Roman"/>
          <w:sz w:val="31"/>
          <w:szCs w:val="31"/>
        </w:rPr>
      </w:pPr>
    </w:p>
    <w:p w14:paraId="7E8D29F8">
      <w:pPr>
        <w:spacing w:line="436" w:lineRule="exact"/>
        <w:rPr>
          <w:rFonts w:hint="default" w:ascii="Times New Roman" w:hAnsi="Times New Roman" w:eastAsia="仿宋" w:cs="Times New Roman"/>
          <w:sz w:val="31"/>
          <w:szCs w:val="31"/>
        </w:rPr>
      </w:pPr>
    </w:p>
    <w:p w14:paraId="1BFA7A96">
      <w:pPr>
        <w:spacing w:line="436" w:lineRule="exact"/>
        <w:rPr>
          <w:rFonts w:hint="default" w:ascii="Times New Roman" w:hAnsi="Times New Roman" w:eastAsia="仿宋" w:cs="Times New Roman"/>
          <w:sz w:val="31"/>
          <w:szCs w:val="31"/>
        </w:rPr>
      </w:pPr>
    </w:p>
    <w:p w14:paraId="21C976DA">
      <w:pPr>
        <w:spacing w:line="436" w:lineRule="exact"/>
        <w:rPr>
          <w:rFonts w:hint="default" w:ascii="Times New Roman" w:hAnsi="Times New Roman" w:eastAsia="仿宋" w:cs="Times New Roman"/>
          <w:sz w:val="31"/>
          <w:szCs w:val="31"/>
        </w:rPr>
      </w:pPr>
    </w:p>
    <w:p w14:paraId="08D64658">
      <w:pPr>
        <w:spacing w:line="436" w:lineRule="exact"/>
        <w:rPr>
          <w:rFonts w:hint="default" w:ascii="Times New Roman" w:hAnsi="Times New Roman" w:eastAsia="仿宋" w:cs="Times New Roman"/>
          <w:sz w:val="31"/>
          <w:szCs w:val="31"/>
        </w:rPr>
      </w:pPr>
    </w:p>
    <w:p w14:paraId="5FC342D1">
      <w:pPr>
        <w:spacing w:line="436" w:lineRule="exact"/>
        <w:rPr>
          <w:rFonts w:hint="default" w:ascii="Times New Roman" w:hAnsi="Times New Roman" w:eastAsia="仿宋" w:cs="Times New Roman"/>
          <w:sz w:val="31"/>
          <w:szCs w:val="31"/>
        </w:rPr>
      </w:pPr>
    </w:p>
    <w:p w14:paraId="44691769">
      <w:pPr>
        <w:spacing w:line="436" w:lineRule="exact"/>
        <w:rPr>
          <w:rFonts w:hint="default" w:ascii="Times New Roman" w:hAnsi="Times New Roman" w:eastAsia="仿宋" w:cs="Times New Roman"/>
          <w:sz w:val="31"/>
          <w:szCs w:val="31"/>
        </w:rPr>
      </w:pPr>
    </w:p>
    <w:p w14:paraId="5AC75D33">
      <w:pPr>
        <w:spacing w:line="436" w:lineRule="exact"/>
        <w:rPr>
          <w:rFonts w:hint="default" w:ascii="Times New Roman" w:hAnsi="Times New Roman" w:eastAsia="仿宋" w:cs="Times New Roman"/>
          <w:sz w:val="31"/>
          <w:szCs w:val="31"/>
        </w:rPr>
      </w:pPr>
    </w:p>
    <w:p w14:paraId="1C15F6CC">
      <w:pPr>
        <w:spacing w:line="436" w:lineRule="exact"/>
        <w:rPr>
          <w:rFonts w:hint="default" w:ascii="Times New Roman" w:hAnsi="Times New Roman" w:eastAsia="仿宋" w:cs="Times New Roman"/>
          <w:sz w:val="31"/>
          <w:szCs w:val="31"/>
        </w:rPr>
      </w:pPr>
    </w:p>
    <w:p w14:paraId="4433E3E9">
      <w:pPr>
        <w:spacing w:line="436" w:lineRule="exact"/>
        <w:rPr>
          <w:rFonts w:hint="default" w:ascii="Times New Roman" w:hAnsi="Times New Roman" w:eastAsia="仿宋" w:cs="Times New Roman"/>
          <w:sz w:val="31"/>
          <w:szCs w:val="31"/>
        </w:rPr>
      </w:pPr>
    </w:p>
    <w:p w14:paraId="143BB76C">
      <w:pPr>
        <w:spacing w:line="436" w:lineRule="exact"/>
        <w:rPr>
          <w:rFonts w:hint="eastAsia" w:ascii="Times New Roman" w:hAnsi="Times New Roman" w:eastAsia="仿宋" w:cs="Times New Roman"/>
          <w:sz w:val="31"/>
          <w:szCs w:val="31"/>
          <w:lang w:val="en-US" w:eastAsia="zh-CN"/>
        </w:rPr>
      </w:pPr>
      <w:r>
        <w:rPr>
          <w:rFonts w:hint="eastAsia" w:ascii="Times New Roman" w:hAnsi="Times New Roman" w:eastAsia="仿宋" w:cs="Times New Roman"/>
          <w:sz w:val="31"/>
          <w:szCs w:val="31"/>
          <w:lang w:eastAsia="zh-CN"/>
        </w:rPr>
        <w:t>附图</w:t>
      </w:r>
      <w:r>
        <w:rPr>
          <w:rFonts w:hint="eastAsia" w:ascii="Times New Roman" w:hAnsi="Times New Roman" w:eastAsia="仿宋" w:cs="Times New Roman"/>
          <w:sz w:val="31"/>
          <w:szCs w:val="31"/>
          <w:lang w:val="en-US" w:eastAsia="zh-CN"/>
        </w:rPr>
        <w:t>1：</w:t>
      </w:r>
    </w:p>
    <w:p w14:paraId="33F548AD">
      <w:pPr>
        <w:spacing w:line="436" w:lineRule="exact"/>
        <w:rPr>
          <w:rFonts w:hint="eastAsia" w:ascii="Times New Roman" w:hAnsi="Times New Roman" w:eastAsia="仿宋" w:cs="Times New Roman"/>
          <w:sz w:val="31"/>
          <w:szCs w:val="31"/>
          <w:lang w:val="en-US" w:eastAsia="zh-CN"/>
        </w:rPr>
      </w:pPr>
    </w:p>
    <w:p w14:paraId="0DCB0174">
      <w:pPr>
        <w:spacing w:before="8" w:line="240" w:lineRule="auto"/>
        <w:ind w:firstLine="11"/>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anchor distT="0" distB="0" distL="114300" distR="114300" simplePos="0" relativeHeight="251659264" behindDoc="1" locked="0" layoutInCell="1" allowOverlap="1">
            <wp:simplePos x="0" y="0"/>
            <wp:positionH relativeFrom="column">
              <wp:posOffset>-1067435</wp:posOffset>
            </wp:positionH>
            <wp:positionV relativeFrom="paragraph">
              <wp:posOffset>-124460</wp:posOffset>
            </wp:positionV>
            <wp:extent cx="7398385" cy="6166485"/>
            <wp:effectExtent l="0" t="0" r="12065" b="5715"/>
            <wp:wrapTight wrapText="bothSides">
              <wp:wrapPolygon>
                <wp:start x="0" y="0"/>
                <wp:lineTo x="0" y="21553"/>
                <wp:lineTo x="21524" y="21553"/>
                <wp:lineTo x="21524" y="0"/>
                <wp:lineTo x="0" y="0"/>
              </wp:wrapPolygon>
            </wp:wrapTight>
            <wp:docPr id="3" name="图片 3" descr="E:/2026年项目/2026.2.27集贤县国土空间规划评估修改/3.26集贤县国土空间规划动态调整工作汇报/2026.3.30集贤县规划动态维护成果上报需要材料/集贤县永久基本农田维护后图11.jpg集贤县永久基本农田维护后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026年项目/2026.2.27集贤县国土空间规划评估修改/3.26集贤县国土空间规划动态调整工作汇报/2026.3.30集贤县规划动态维护成果上报需要材料/集贤县永久基本农田维护后图11.jpg集贤县永久基本农田维护后图11"/>
                    <pic:cNvPicPr>
                      <a:picLocks noChangeAspect="1"/>
                    </pic:cNvPicPr>
                  </pic:nvPicPr>
                  <pic:blipFill>
                    <a:blip r:embed="rId7"/>
                    <a:srcRect l="2986" r="2986"/>
                    <a:stretch>
                      <a:fillRect/>
                    </a:stretch>
                  </pic:blipFill>
                  <pic:spPr>
                    <a:xfrm>
                      <a:off x="0" y="0"/>
                      <a:ext cx="7398385" cy="6166485"/>
                    </a:xfrm>
                    <a:prstGeom prst="rect">
                      <a:avLst/>
                    </a:prstGeom>
                  </pic:spPr>
                </pic:pic>
              </a:graphicData>
            </a:graphic>
          </wp:anchor>
        </w:drawing>
      </w:r>
    </w:p>
    <w:p w14:paraId="5F8BBF4E">
      <w:pPr>
        <w:pStyle w:val="3"/>
        <w:spacing w:line="429" w:lineRule="auto"/>
        <w:rPr>
          <w:rFonts w:hint="default" w:ascii="Times New Roman" w:hAnsi="Times New Roman" w:cs="Times New Roman"/>
        </w:rPr>
      </w:pPr>
    </w:p>
    <w:p w14:paraId="08CCE92E">
      <w:pPr>
        <w:spacing w:line="436" w:lineRule="exact"/>
        <w:rPr>
          <w:rFonts w:hint="eastAsia" w:ascii="Times New Roman" w:hAnsi="Times New Roman" w:eastAsia="仿宋" w:cs="Times New Roman"/>
          <w:sz w:val="31"/>
          <w:szCs w:val="31"/>
          <w:lang w:eastAsia="zh-CN"/>
        </w:rPr>
      </w:pPr>
    </w:p>
    <w:p w14:paraId="4790D326">
      <w:pPr>
        <w:spacing w:line="436" w:lineRule="exact"/>
        <w:rPr>
          <w:rFonts w:hint="eastAsia" w:ascii="Times New Roman" w:hAnsi="Times New Roman" w:eastAsia="仿宋" w:cs="Times New Roman"/>
          <w:sz w:val="31"/>
          <w:szCs w:val="31"/>
          <w:lang w:eastAsia="zh-CN"/>
        </w:rPr>
      </w:pPr>
    </w:p>
    <w:p w14:paraId="7EEAAB10">
      <w:pPr>
        <w:spacing w:line="436" w:lineRule="exact"/>
        <w:rPr>
          <w:rFonts w:hint="eastAsia" w:ascii="Times New Roman" w:hAnsi="Times New Roman" w:eastAsia="仿宋" w:cs="Times New Roman"/>
          <w:sz w:val="31"/>
          <w:szCs w:val="31"/>
          <w:lang w:eastAsia="zh-CN"/>
        </w:rPr>
      </w:pPr>
    </w:p>
    <w:p w14:paraId="06F31BB4">
      <w:pPr>
        <w:spacing w:line="436" w:lineRule="exact"/>
        <w:rPr>
          <w:rFonts w:hint="eastAsia" w:ascii="Times New Roman" w:hAnsi="Times New Roman" w:eastAsia="仿宋" w:cs="Times New Roman"/>
          <w:sz w:val="31"/>
          <w:szCs w:val="31"/>
          <w:lang w:eastAsia="zh-CN"/>
        </w:rPr>
      </w:pPr>
    </w:p>
    <w:p w14:paraId="430A6F46">
      <w:pPr>
        <w:spacing w:line="436" w:lineRule="exact"/>
        <w:rPr>
          <w:rFonts w:hint="eastAsia" w:ascii="Times New Roman" w:hAnsi="Times New Roman" w:eastAsia="仿宋" w:cs="Times New Roman"/>
          <w:sz w:val="31"/>
          <w:szCs w:val="31"/>
          <w:lang w:eastAsia="zh-CN"/>
        </w:rPr>
      </w:pPr>
    </w:p>
    <w:p w14:paraId="5D3E0441">
      <w:pPr>
        <w:spacing w:line="436" w:lineRule="exact"/>
        <w:rPr>
          <w:rFonts w:hint="eastAsia" w:ascii="Times New Roman" w:hAnsi="Times New Roman" w:eastAsia="仿宋" w:cs="Times New Roman"/>
          <w:sz w:val="31"/>
          <w:szCs w:val="31"/>
          <w:lang w:eastAsia="zh-CN"/>
        </w:rPr>
      </w:pPr>
    </w:p>
    <w:p w14:paraId="754EA5D0">
      <w:pPr>
        <w:spacing w:line="436" w:lineRule="exact"/>
        <w:rPr>
          <w:rFonts w:hint="eastAsia" w:ascii="Times New Roman" w:hAnsi="Times New Roman" w:eastAsia="仿宋" w:cs="Times New Roman"/>
          <w:sz w:val="31"/>
          <w:szCs w:val="31"/>
          <w:lang w:eastAsia="zh-CN"/>
        </w:rPr>
      </w:pPr>
    </w:p>
    <w:p w14:paraId="3975F1EA">
      <w:pPr>
        <w:spacing w:line="436" w:lineRule="exact"/>
        <w:rPr>
          <w:rFonts w:hint="eastAsia" w:ascii="Times New Roman" w:hAnsi="Times New Roman" w:eastAsia="仿宋" w:cs="Times New Roman"/>
          <w:sz w:val="31"/>
          <w:szCs w:val="31"/>
          <w:lang w:val="en-US" w:eastAsia="zh-CN"/>
        </w:rPr>
      </w:pPr>
      <w:r>
        <w:rPr>
          <w:rFonts w:hint="default" w:ascii="Times New Roman" w:hAnsi="Times New Roman" w:eastAsia="宋体" w:cs="Times New Roman"/>
          <w:lang w:eastAsia="zh-CN"/>
        </w:rPr>
        <w:drawing>
          <wp:anchor distT="0" distB="0" distL="114300" distR="114300" simplePos="0" relativeHeight="251661312" behindDoc="1" locked="0" layoutInCell="1" allowOverlap="1">
            <wp:simplePos x="0" y="0"/>
            <wp:positionH relativeFrom="column">
              <wp:posOffset>-1017905</wp:posOffset>
            </wp:positionH>
            <wp:positionV relativeFrom="paragraph">
              <wp:posOffset>367665</wp:posOffset>
            </wp:positionV>
            <wp:extent cx="7368540" cy="6053455"/>
            <wp:effectExtent l="0" t="0" r="0" b="0"/>
            <wp:wrapTight wrapText="bothSides">
              <wp:wrapPolygon>
                <wp:start x="0" y="0"/>
                <wp:lineTo x="0" y="21548"/>
                <wp:lineTo x="21555" y="21548"/>
                <wp:lineTo x="21555" y="0"/>
                <wp:lineTo x="0" y="0"/>
              </wp:wrapPolygon>
            </wp:wrapTight>
            <wp:docPr id="5" name="图片 5" descr="E:/2026年项目/2026.2.27集贤县国土空间规划评估修改/3.26集贤县国土空间规划动态调整工作汇报/2026.3.30集贤县规划动态维护成果上报需要材料/集贤县城镇开发边界维护后图11.jpg集贤县城镇开发边界维护后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2026年项目/2026.2.27集贤县国土空间规划评估修改/3.26集贤县国土空间规划动态调整工作汇报/2026.3.30集贤县规划动态维护成果上报需要材料/集贤县城镇开发边界维护后图11.jpg集贤县城镇开发边界维护后图11"/>
                    <pic:cNvPicPr>
                      <a:picLocks noChangeAspect="1"/>
                    </pic:cNvPicPr>
                  </pic:nvPicPr>
                  <pic:blipFill>
                    <a:blip r:embed="rId8"/>
                    <a:srcRect l="2849" r="2849" b="822"/>
                    <a:stretch>
                      <a:fillRect/>
                    </a:stretch>
                  </pic:blipFill>
                  <pic:spPr>
                    <a:xfrm>
                      <a:off x="0" y="0"/>
                      <a:ext cx="7368540" cy="6053455"/>
                    </a:xfrm>
                    <a:prstGeom prst="rect">
                      <a:avLst/>
                    </a:prstGeom>
                  </pic:spPr>
                </pic:pic>
              </a:graphicData>
            </a:graphic>
          </wp:anchor>
        </w:drawing>
      </w:r>
      <w:r>
        <w:rPr>
          <w:rFonts w:hint="eastAsia" w:ascii="Times New Roman" w:hAnsi="Times New Roman" w:eastAsia="仿宋" w:cs="Times New Roman"/>
          <w:sz w:val="31"/>
          <w:szCs w:val="31"/>
          <w:lang w:eastAsia="zh-CN"/>
        </w:rPr>
        <w:t>附图</w:t>
      </w:r>
      <w:r>
        <w:rPr>
          <w:rFonts w:hint="eastAsia" w:ascii="Times New Roman" w:hAnsi="Times New Roman" w:eastAsia="仿宋" w:cs="Times New Roman"/>
          <w:sz w:val="31"/>
          <w:szCs w:val="31"/>
          <w:lang w:val="en-US" w:eastAsia="zh-CN"/>
        </w:rPr>
        <w:t>2：</w:t>
      </w:r>
    </w:p>
    <w:p w14:paraId="536BEEAB">
      <w:pPr>
        <w:spacing w:line="436" w:lineRule="exact"/>
        <w:rPr>
          <w:rFonts w:hint="eastAsia" w:ascii="Times New Roman" w:hAnsi="Times New Roman" w:eastAsia="仿宋" w:cs="Times New Roman"/>
          <w:sz w:val="31"/>
          <w:szCs w:val="31"/>
          <w:lang w:eastAsia="zh-CN"/>
        </w:rPr>
      </w:pPr>
    </w:p>
    <w:p w14:paraId="36019682">
      <w:pPr>
        <w:spacing w:line="436" w:lineRule="exact"/>
        <w:rPr>
          <w:rFonts w:hint="eastAsia" w:ascii="Times New Roman" w:hAnsi="Times New Roman" w:eastAsia="仿宋" w:cs="Times New Roman"/>
          <w:sz w:val="31"/>
          <w:szCs w:val="31"/>
          <w:lang w:eastAsia="zh-CN"/>
        </w:rPr>
      </w:pPr>
    </w:p>
    <w:p w14:paraId="5294F333">
      <w:pPr>
        <w:spacing w:line="436" w:lineRule="exact"/>
        <w:rPr>
          <w:rFonts w:hint="eastAsia" w:ascii="Times New Roman" w:hAnsi="Times New Roman" w:eastAsia="仿宋" w:cs="Times New Roman"/>
          <w:sz w:val="31"/>
          <w:szCs w:val="31"/>
          <w:lang w:eastAsia="zh-CN"/>
        </w:rPr>
      </w:pPr>
    </w:p>
    <w:p w14:paraId="0CFC285E">
      <w:pPr>
        <w:spacing w:line="436" w:lineRule="exact"/>
        <w:rPr>
          <w:rFonts w:hint="eastAsia" w:ascii="Times New Roman" w:hAnsi="Times New Roman" w:eastAsia="仿宋" w:cs="Times New Roman"/>
          <w:sz w:val="31"/>
          <w:szCs w:val="31"/>
          <w:lang w:eastAsia="zh-CN"/>
        </w:rPr>
      </w:pPr>
    </w:p>
    <w:p w14:paraId="5839433F">
      <w:pPr>
        <w:spacing w:line="436" w:lineRule="exact"/>
        <w:rPr>
          <w:rFonts w:hint="eastAsia" w:ascii="Times New Roman" w:hAnsi="Times New Roman" w:eastAsia="仿宋" w:cs="Times New Roman"/>
          <w:sz w:val="31"/>
          <w:szCs w:val="31"/>
          <w:lang w:eastAsia="zh-CN"/>
        </w:rPr>
      </w:pPr>
    </w:p>
    <w:p w14:paraId="6E15159C">
      <w:pPr>
        <w:spacing w:line="436" w:lineRule="exact"/>
        <w:rPr>
          <w:rFonts w:hint="eastAsia" w:ascii="Times New Roman" w:hAnsi="Times New Roman" w:eastAsia="仿宋" w:cs="Times New Roman"/>
          <w:sz w:val="31"/>
          <w:szCs w:val="31"/>
          <w:lang w:eastAsia="zh-CN"/>
        </w:rPr>
      </w:pPr>
    </w:p>
    <w:p w14:paraId="0E98018A">
      <w:pPr>
        <w:spacing w:line="436" w:lineRule="exact"/>
        <w:rPr>
          <w:rFonts w:hint="eastAsia" w:ascii="Times New Roman" w:hAnsi="Times New Roman" w:eastAsia="仿宋" w:cs="Times New Roman"/>
          <w:sz w:val="31"/>
          <w:szCs w:val="31"/>
          <w:lang w:eastAsia="zh-CN"/>
        </w:rPr>
      </w:pPr>
    </w:p>
    <w:p w14:paraId="3F4373C8">
      <w:pPr>
        <w:spacing w:line="436" w:lineRule="exact"/>
        <w:rPr>
          <w:rFonts w:hint="eastAsia" w:ascii="Times New Roman" w:hAnsi="Times New Roman" w:eastAsia="仿宋" w:cs="Times New Roman"/>
          <w:sz w:val="31"/>
          <w:szCs w:val="31"/>
          <w:lang w:eastAsia="zh-CN"/>
        </w:rPr>
      </w:pPr>
    </w:p>
    <w:p w14:paraId="41F07C29">
      <w:pPr>
        <w:spacing w:line="436" w:lineRule="exact"/>
        <w:rPr>
          <w:rFonts w:hint="eastAsia" w:ascii="Times New Roman" w:hAnsi="Times New Roman" w:eastAsia="仿宋" w:cs="Times New Roman"/>
          <w:sz w:val="31"/>
          <w:szCs w:val="31"/>
          <w:lang w:eastAsia="zh-CN"/>
        </w:rPr>
      </w:pPr>
    </w:p>
    <w:p w14:paraId="1BF96AF4">
      <w:pPr>
        <w:spacing w:line="436" w:lineRule="exact"/>
        <w:rPr>
          <w:rFonts w:hint="eastAsia" w:ascii="Times New Roman" w:hAnsi="Times New Roman" w:eastAsia="仿宋" w:cs="Times New Roman"/>
          <w:sz w:val="31"/>
          <w:szCs w:val="31"/>
          <w:lang w:eastAsia="zh-CN"/>
        </w:rPr>
      </w:pPr>
    </w:p>
    <w:p w14:paraId="78050E9F">
      <w:pPr>
        <w:spacing w:line="436" w:lineRule="exact"/>
        <w:rPr>
          <w:rFonts w:hint="eastAsia" w:ascii="Times New Roman" w:hAnsi="Times New Roman" w:eastAsia="仿宋" w:cs="Times New Roman"/>
          <w:sz w:val="31"/>
          <w:szCs w:val="31"/>
          <w:lang w:val="en-US" w:eastAsia="zh-CN"/>
        </w:rPr>
      </w:pPr>
      <w:r>
        <w:rPr>
          <w:rFonts w:hint="eastAsia" w:ascii="Times New Roman" w:hAnsi="Times New Roman" w:eastAsia="仿宋" w:cs="Times New Roman"/>
          <w:sz w:val="31"/>
          <w:szCs w:val="31"/>
          <w:lang w:eastAsia="zh-CN"/>
        </w:rPr>
        <w:t>附图</w:t>
      </w:r>
      <w:r>
        <w:rPr>
          <w:rFonts w:hint="eastAsia" w:ascii="Times New Roman" w:hAnsi="Times New Roman" w:eastAsia="仿宋" w:cs="Times New Roman"/>
          <w:sz w:val="31"/>
          <w:szCs w:val="31"/>
          <w:lang w:val="en-US" w:eastAsia="zh-CN"/>
        </w:rPr>
        <w:t>3：</w:t>
      </w:r>
    </w:p>
    <w:p w14:paraId="2DD3BD0D">
      <w:pPr>
        <w:spacing w:line="240" w:lineRule="auto"/>
        <w:rPr>
          <w:rFonts w:hint="default" w:ascii="Times New Roman" w:hAnsi="Times New Roman" w:eastAsia="宋体" w:cs="Times New Roman"/>
          <w:lang w:val="en-US" w:eastAsia="zh-CN"/>
        </w:rPr>
      </w:pPr>
      <w:r>
        <w:rPr>
          <w:rFonts w:hint="default" w:ascii="Times New Roman" w:hAnsi="Times New Roman" w:eastAsia="宋体" w:cs="Times New Roman"/>
          <w:lang w:eastAsia="zh-CN"/>
        </w:rPr>
        <w:drawing>
          <wp:anchor distT="0" distB="0" distL="114300" distR="114300" simplePos="0" relativeHeight="251660288" behindDoc="1" locked="0" layoutInCell="1" allowOverlap="1">
            <wp:simplePos x="0" y="0"/>
            <wp:positionH relativeFrom="column">
              <wp:posOffset>-990600</wp:posOffset>
            </wp:positionH>
            <wp:positionV relativeFrom="paragraph">
              <wp:posOffset>25400</wp:posOffset>
            </wp:positionV>
            <wp:extent cx="7372350" cy="5761990"/>
            <wp:effectExtent l="0" t="0" r="0" b="0"/>
            <wp:wrapTight wrapText="bothSides">
              <wp:wrapPolygon>
                <wp:start x="0" y="0"/>
                <wp:lineTo x="0" y="21495"/>
                <wp:lineTo x="21544" y="21495"/>
                <wp:lineTo x="21544" y="0"/>
                <wp:lineTo x="0" y="0"/>
              </wp:wrapPolygon>
            </wp:wrapTight>
            <wp:docPr id="4" name="图片 4" descr="集贤县规划用途分区维护后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集贤县规划用途分区维护后图"/>
                    <pic:cNvPicPr>
                      <a:picLocks noChangeAspect="1"/>
                    </pic:cNvPicPr>
                  </pic:nvPicPr>
                  <pic:blipFill>
                    <a:blip r:embed="rId9"/>
                    <a:srcRect b="6222"/>
                    <a:stretch>
                      <a:fillRect/>
                    </a:stretch>
                  </pic:blipFill>
                  <pic:spPr>
                    <a:xfrm>
                      <a:off x="0" y="0"/>
                      <a:ext cx="7372350" cy="5761990"/>
                    </a:xfrm>
                    <a:prstGeom prst="rect">
                      <a:avLst/>
                    </a:prstGeom>
                  </pic:spPr>
                </pic:pic>
              </a:graphicData>
            </a:graphic>
          </wp:anchor>
        </w:drawing>
      </w:r>
    </w:p>
    <w:p w14:paraId="3F687286">
      <w:pPr>
        <w:spacing w:line="240" w:lineRule="auto"/>
        <w:rPr>
          <w:rFonts w:hint="default" w:ascii="Times New Roman" w:hAnsi="Times New Roman" w:eastAsia="宋体" w:cs="Times New Roman"/>
          <w:lang w:val="en-US" w:eastAsia="zh-CN"/>
        </w:rPr>
      </w:pPr>
    </w:p>
    <w:p w14:paraId="01EBD80B">
      <w:pPr>
        <w:spacing w:line="240" w:lineRule="auto"/>
        <w:rPr>
          <w:rFonts w:hint="default" w:ascii="Times New Roman" w:hAnsi="Times New Roman" w:eastAsia="宋体" w:cs="Times New Roman"/>
          <w:lang w:val="en-US" w:eastAsia="zh-CN"/>
        </w:rPr>
      </w:pPr>
    </w:p>
    <w:p w14:paraId="2C287039">
      <w:pPr>
        <w:spacing w:before="8" w:line="240" w:lineRule="auto"/>
        <w:ind w:firstLine="11"/>
        <w:rPr>
          <w:rFonts w:hint="default" w:ascii="Times New Roman" w:hAnsi="Times New Roman" w:eastAsia="宋体" w:cs="Times New Roman"/>
          <w:lang w:eastAsia="zh-CN"/>
        </w:rPr>
      </w:pPr>
    </w:p>
    <w:sectPr>
      <w:pgSz w:w="11906" w:h="16839"/>
      <w:pgMar w:top="1431" w:right="1785" w:bottom="0" w:left="178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KaiTi_GB2312">
    <w:altName w:val="楷体"/>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FA08B">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E65966">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3E65966">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1293007"/>
    <w:rsid w:val="0A7E6800"/>
    <w:rsid w:val="1A120C27"/>
    <w:rsid w:val="26B04893"/>
    <w:rsid w:val="2DDB766C"/>
    <w:rsid w:val="2F554311"/>
    <w:rsid w:val="339B2A66"/>
    <w:rsid w:val="34BA54F2"/>
    <w:rsid w:val="387815A9"/>
    <w:rsid w:val="44886B1A"/>
    <w:rsid w:val="47A81BD4"/>
    <w:rsid w:val="4C166596"/>
    <w:rsid w:val="529D6034"/>
    <w:rsid w:val="56BB76C8"/>
    <w:rsid w:val="67B22C7C"/>
    <w:rsid w:val="685706F9"/>
    <w:rsid w:val="7C073C4C"/>
    <w:rsid w:val="7F72007F"/>
    <w:rsid w:val="7FEE4C7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Body Text Indent"/>
    <w:basedOn w:val="1"/>
    <w:qFormat/>
    <w:uiPriority w:val="0"/>
    <w:pPr>
      <w:spacing w:line="360" w:lineRule="auto"/>
      <w:ind w:firstLine="480" w:firstLineChars="150"/>
    </w:pPr>
    <w:rPr>
      <w:rFonts w:ascii="仿宋_GB2312" w:hAnsi="Times New Roman"/>
      <w:bCs/>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rPr>
      <w:sz w:val="24"/>
    </w:rPr>
  </w:style>
  <w:style w:type="paragraph" w:styleId="8">
    <w:name w:val="Body Text First Indent 2"/>
    <w:basedOn w:val="4"/>
    <w:unhideWhenUsed/>
    <w:qFormat/>
    <w:uiPriority w:val="99"/>
    <w:pPr>
      <w:spacing w:line="240" w:lineRule="auto"/>
      <w:ind w:firstLine="0" w:firstLineChars="0"/>
      <w:jc w:val="center"/>
    </w:pPr>
    <w:rPr>
      <w:rFonts w:hAnsi="仿宋_GB2312" w:eastAsia="宋体" w:cs="Times New Roman"/>
      <w:sz w:val="21"/>
      <w:szCs w:val="24"/>
    </w:rPr>
  </w:style>
  <w:style w:type="character" w:styleId="11">
    <w:name w:val="Strong"/>
    <w:basedOn w:val="10"/>
    <w:qFormat/>
    <w:uiPriority w:val="0"/>
    <w:rPr>
      <w:b/>
    </w:rPr>
  </w:style>
  <w:style w:type="table" w:customStyle="1" w:styleId="1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9d5f621d-062e-433e-ac0d-c331d0f83d06</errorID>
      <errorWord>(</errorWord>
      <group>L1_Format</group>
      <groupName>格式问题</groupName>
      <ability>L2_HalfPunc</ability>
      <abilityName>全半角检查</abilityName>
      <candidateList>
        <item>（</item>
      </candidateList>
      <explain>文本全半角错误。</explain>
      <paraID>7B2B90D0</paraID>
      <start>80</start>
      <end>81</end>
      <status>modified</status>
      <modifiedWord>（</modifiedWord>
      <trackRevisions>false</trackRevisions>
    </reviewItem>
    <reviewItem>
      <errorID>3f7c06bd-028e-4dc7-b2ff-b504d87adfea</errorID>
      <errorWord>)</errorWord>
      <group>L1_Format</group>
      <groupName>格式问题</groupName>
      <ability>L2_HalfPunc</ability>
      <abilityName>全半角检查</abilityName>
      <candidateList>
        <item>）</item>
      </candidateList>
      <explain>文本全半角错误。</explain>
      <paraID>7B2B90D0</paraID>
      <start>86</start>
      <end>87</end>
      <status>modified</status>
      <modifiedWord>）</modifiedWord>
      <trackRevisions>false</trackRevisions>
    </reviewItem>
    <reviewItem>
      <errorID>777ebadd-3922-418f-bf06-8dc46ca4f03d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7B2B90D0</paraID>
      <start>235</start>
      <end>236</end>
      <status>modified</status>
      <modifiedWord>—</modifiedWord>
      <trackRevisions>false</trackRevisions>
    </reviewItem>
    <reviewItem>
      <errorID>fc78ddb4-09c7-4404-ba24-c70713a13bda</errorID>
      <errorWord>集紧</errorWord>
      <group>L1_Word</group>
      <groupName>字词问题</groupName>
      <ability>L2_Typo</ability>
      <abilityName>字词错误</abilityName>
      <candidateList>
        <item>集聚</item>
      </candidateList>
      <explain>存在字形相近字词的误用。</explain>
      <paraID>554D2973</paraID>
      <start>5</start>
      <end>7</end>
      <status>unmodified</status>
      <modifiedWord/>
      <trackRevisions>false</trackRevisions>
    </reviewItem>
    <reviewItem>
      <errorID>6bfff0ab-4fc9-4bf8-9df5-728a539c19af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70747D06</paraID>
      <start>0</start>
      <end>2</end>
      <status>unmodified</status>
      <modifiedWord/>
      <trackRevisions>false</trackRevisions>
    </reviewItem>
    <reviewItem>
      <errorID>35fc3525-f40f-46a6-ade1-8f846215f6d1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10A2B128</paraID>
      <start>0</start>
      <end>2</end>
      <status>unmodified</status>
      <modifiedWord/>
      <trackRevisions>false</trackRevisions>
    </reviewItem>
    <reviewItem>
      <errorID>2ef4a91c-90df-4a4d-acff-814702cecab9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38099EFE</paraID>
      <start>0</start>
      <end>2</end>
      <status>unmodified</status>
      <modifiedWord/>
      <trackRevisions>false</trackRevisions>
    </reviewItem>
    <reviewItem>
      <errorID>92237388-5b8b-411f-85d0-5f1c226d302f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7AC573E4</paraID>
      <start>0</start>
      <end>2</end>
      <status>unmodified</status>
      <modifiedWord/>
      <trackRevisions>false</trackRevisions>
    </reviewItem>
    <reviewItem>
      <errorID>92fe7346-bf83-42b2-bfe8-f6f3a402122e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530F64C5</paraID>
      <start>0</start>
      <end>2</end>
      <status>unmodified</status>
      <modifiedWord/>
      <trackRevisions>false</trackRevisions>
    </reviewItem>
    <reviewItem>
      <errorID>6af2eac4-e469-4f3b-8470-012421baab2e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7055E39E</paraID>
      <start>0</start>
      <end>2</end>
      <status>unmodified</status>
      <modifiedWord/>
      <trackRevisions>false</trackRevisions>
    </reviewItem>
    <reviewItem>
      <errorID>cc5de950-7983-427f-ac5a-c187ef045180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78C8BEE7</paraID>
      <start>0</start>
      <end>2</end>
      <status>unmodified</status>
      <modifiedWord/>
      <trackRevisions>false</trackRevisions>
    </reviewItem>
    <reviewItem>
      <errorID>0d08f7b9-a28a-4a0b-aaad-4dcf112937aa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64C949D6</paraID>
      <start>0</start>
      <end>2</end>
      <status>unmodified</status>
      <modifiedWord/>
      <trackRevisions>false</trackRevisions>
    </reviewItem>
    <reviewItem>
      <errorID>ca033bc5-a90e-4f21-9fc8-b49dd2664e9a</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2673F649</paraID>
      <start>0</start>
      <end>2</end>
      <status>unmodified</status>
      <modifiedWord/>
      <trackRevisions>false</trackRevisions>
    </reviewItem>
    <reviewItem>
      <errorID>5d1b9a79-db84-4b87-a144-030e6f51b0c9</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6BE36A20</paraID>
      <start>0</start>
      <end>3</end>
      <status>unmodified</status>
      <modifiedWord/>
      <trackRevisions>false</trackRevisions>
    </reviewItem>
    <reviewItem>
      <errorID>d07579ec-a1cd-4b88-8d4e-8fe733ec0eaa</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1D98B933</paraID>
      <start>0</start>
      <end>3</end>
      <status>unmodified</status>
      <modifiedWord/>
      <trackRevisions>false</trackRevisions>
    </reviewItem>
    <reviewItem>
      <errorID>37332df4-864a-4c16-99a9-b1d8e33c43b1</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219DF9F6</paraID>
      <start>0</start>
      <end>3</end>
      <status>unmodified</status>
      <modifiedWord/>
      <trackRevisions>false</trackRevisions>
    </reviewItem>
    <reviewItem>
      <errorID>289df589-f568-48ad-b6c7-5414b63cf139</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1F90DBDA</paraID>
      <start>0</start>
      <end>3</end>
      <status>unmodified</status>
      <modifiedWord/>
      <trackRevisions>false</trackRevisions>
    </reviewItem>
    <reviewItem>
      <errorID>a2dc993f-de83-4593-9985-e264bbda752f</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2AD9F730</paraID>
      <start>0</start>
      <end>3</end>
      <status>unmodified</status>
      <modifiedWord/>
      <trackRevisions>false</trackRevisions>
    </reviewItem>
    <reviewItem>
      <errorID>cfbd5cee-c34c-4a38-a6a6-04c6cacb4fdd</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132DF374</paraID>
      <start>0</start>
      <end>3</end>
      <status>unmodified</status>
      <modifiedWord/>
      <trackRevisions>false</trackRevisions>
    </reviewItem>
    <reviewItem>
      <errorID>ae0f8c7f-622e-457d-8da8-fe0c846b171f</errorID>
      <errorWord>耕种的地块</errorWord>
      <group>L1_Word</group>
      <groupName>字词问题</groupName>
      <ability>L2_Typo</ability>
      <abilityName>字词错误</abilityName>
      <candidateList>
        <item>耕作的地块</item>
      </candidateList>
      <explain/>
      <paraID>258A1DD4</paraID>
      <start>38</start>
      <end>43</end>
      <status>unmodified</status>
      <modifiedWord/>
      <trackRevisions>false</trackRevisions>
    </reviewItem>
    <reviewItem>
      <errorID>d681d156-1b82-4dc7-b53d-ef41f59ae7ad</errorID>
      <errorWord>:</errorWord>
      <group>L1_Format</group>
      <groupName>格式问题</groupName>
      <ability>L2_HalfPunc</ability>
      <abilityName>全半角检查</abilityName>
      <candidateList>
        <item>：</item>
      </candidateList>
      <explain>文本全半角错误。</explain>
      <paraID>258A1DD4</paraID>
      <start>155</start>
      <end>156</end>
      <status>modified</status>
      <modifiedWord>：</modifiedWord>
      <trackRevisions>false</trackRevisions>
    </reviewItem>
    <reviewItem>
      <errorID>b32b5a2b-3b12-4aab-b904-c3b6c782196c</errorID>
      <errorWord>(</errorWord>
      <group>L1_Format</group>
      <groupName>格式问题</groupName>
      <ability>L2_HalfPunc</ability>
      <abilityName>全半角检查</abilityName>
      <candidateList>
        <item>（</item>
      </candidateList>
      <explain>文本全半角错误。</explain>
      <paraID>258A1DD4</paraID>
      <start>168</start>
      <end>169</end>
      <status>modified</status>
      <modifiedWord>（</modifiedWord>
      <trackRevisions>false</trackRevisions>
    </reviewItem>
    <reviewItem>
      <errorID>cfe10d8a-3f7d-4982-a6b7-7ffff5f943cd</errorID>
      <errorWord>)</errorWord>
      <group>L1_Format</group>
      <groupName>格式问题</groupName>
      <ability>L2_HalfPunc</ability>
      <abilityName>全半角检查</abilityName>
      <candidateList>
        <item>）</item>
      </candidateList>
      <explain>文本全半角错误。</explain>
      <paraID>258A1DD4</paraID>
      <start>170</start>
      <end>171</end>
      <status>modified</status>
      <modifiedWord>）</modifiedWord>
      <trackRevisions>false</trackRevisions>
    </reviewItem>
    <reviewItem>
      <errorID>28a0faf7-956d-47af-ac32-7b818a65f702</errorID>
      <errorWord>(</errorWord>
      <group>L1_Format</group>
      <groupName>格式问题</groupName>
      <ability>L2_HalfPunc</ability>
      <abilityName>全半角检查</abilityName>
      <candidateList>
        <item>（</item>
      </candidateList>
      <explain>文本全半角错误。</explain>
      <paraID>258A1DD4</paraID>
      <start>186</start>
      <end>187</end>
      <status>modified</status>
      <modifiedWord>（</modifiedWord>
      <trackRevisions>false</trackRevisions>
    </reviewItem>
    <reviewItem>
      <errorID>23c07395-8b46-49a1-8e19-3847a4d4b4a7</errorID>
      <errorWord>)</errorWord>
      <group>L1_Format</group>
      <groupName>格式问题</groupName>
      <ability>L2_HalfPunc</ability>
      <abilityName>全半角检查</abilityName>
      <candidateList>
        <item>）</item>
      </candidateList>
      <explain>文本全半角错误。</explain>
      <paraID>258A1DD4</paraID>
      <start>188</start>
      <end>189</end>
      <status>modified</status>
      <modifiedWord>）</modifiedWord>
      <trackRevisions>false</trackRevisions>
    </reviewItem>
    <reviewItem>
      <errorID>5f0b163d-cc31-4461-afc6-738a05b11793</errorID>
      <errorWord>(</errorWord>
      <group>L1_Format</group>
      <groupName>格式问题</groupName>
      <ability>L2_HalfPunc</ability>
      <abilityName>全半角检查</abilityName>
      <candidateList>
        <item>（</item>
      </candidateList>
      <explain>文本全半角错误。</explain>
      <paraID>258A1DD4</paraID>
      <start>206</start>
      <end>207</end>
      <status>modified</status>
      <modifiedWord>（</modifiedWord>
      <trackRevisions>false</trackRevisions>
    </reviewItem>
    <reviewItem>
      <errorID>3cc24b04-abdf-4ae2-80cc-0d106a679c77</errorID>
      <errorWord>)</errorWord>
      <group>L1_Format</group>
      <groupName>格式问题</groupName>
      <ability>L2_HalfPunc</ability>
      <abilityName>全半角检查</abilityName>
      <candidateList>
        <item>）</item>
      </candidateList>
      <explain>文本全半角错误。</explain>
      <paraID>258A1DD4</paraID>
      <start>208</start>
      <end>209</end>
      <status>modified</status>
      <modifiedWord>）</modifiedWord>
      <trackRevisions>false</trackRevisions>
    </reviewItem>
    <reviewItem>
      <errorID>044ac695-cc0a-466d-8102-5d9771218648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2DA8DCC4</paraID>
      <start>0</start>
      <end>2</end>
      <status>unmodified</status>
      <modifiedWord/>
      <trackRevisions>false</trackRevisions>
    </reviewItem>
    <reviewItem>
      <errorID>84968e0a-ad3a-4edc-84ef-0dcae632596a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40049E77</paraID>
      <start>0</start>
      <end>2</end>
      <status>unmodified</status>
      <modifiedWord/>
      <trackRevisions>false</trackRevisions>
    </reviewItem>
    <reviewItem>
      <errorID>c5ec3059-a99e-4660-ad7d-4a95c2735e14</errorID>
      <errorWord>,</errorWord>
      <group>L1_Format</group>
      <groupName>格式问题</groupName>
      <ability>L2_HalfPunc</ability>
      <abilityName>全半角检查</abilityName>
      <candidateList>
        <item>，</item>
      </candidateList>
      <explain>文本全半角错误。</explain>
      <paraID>72E85236</paraID>
      <start>33</start>
      <end>34</end>
      <status>unmodified</status>
      <modifiedWord/>
      <trackRevisions>false</trackRevisions>
    </reviewItem>
    <reviewItem>
      <errorID>108decec-730e-4cac-98f3-b0c840a0ecc8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11F07F4C</paraID>
      <start>0</start>
      <end>2</end>
      <status>unmodified</status>
      <modifiedWord/>
      <trackRevisions>false</trackRevisions>
    </reviewItem>
    <reviewItem>
      <errorID>788b4e22-f16d-4ad2-93c9-479369825628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ED378FC</paraID>
      <start>0</start>
      <end>2</end>
      <status>unmodified</status>
      <modifiedWord/>
      <trackRevisions>false</trackRevisions>
    </reviewItem>
    <reviewItem>
      <errorID>8dde9cba-2ca7-4fe6-84c2-8f050a8e76f8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384175CA</paraID>
      <start>0</start>
      <end>2</end>
      <status>unmodified</status>
      <modifiedWord/>
      <trackRevisions>false</trackRevisions>
    </reviewItem>
    <reviewItem>
      <errorID>f2bd5fac-42a9-44a8-8300-6e4c289c1285</errorID>
      <errorWord>；</errorWord>
      <group>L1_Word</group>
      <groupName>字词问题</groupName>
      <ability>L2_Typo</ability>
      <abilityName>字词错误</abilityName>
      <candidateList>
        <item>；以</item>
      </candidateList>
      <explain/>
      <paraID>4CD552EE</paraID>
      <start>97</start>
      <end>98</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2231ae-160d-45ee-a63f-5dc6ecd6d644}">
  <ds:schemaRefs/>
</ds:datastoreItem>
</file>

<file path=docProps/app.xml><?xml version="1.0" encoding="utf-8"?>
<Properties xmlns="http://schemas.openxmlformats.org/officeDocument/2006/extended-properties" xmlns:vt="http://schemas.openxmlformats.org/officeDocument/2006/docPropsVTypes">
  <Pages>16</Pages>
  <Words>5149</Words>
  <Characters>5369</Characters>
  <TotalTime>29</TotalTime>
  <ScaleCrop>false</ScaleCrop>
  <LinksUpToDate>false</LinksUpToDate>
  <CharactersWithSpaces>5372</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2026-03-06T13:51:00Z</dcterms:created>
  <dc:creator>P15v</dc:creator>
  <cp:lastModifiedBy>柏民啊</cp:lastModifiedBy>
  <dcterms:modified xsi:type="dcterms:W3CDTF">2026-04-17T06:19:21Z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2026-03-28T18:30:25Z</vt:filetime>
  </property>
  <property fmtid="{D5CDD505-2E9C-101B-9397-08002B2CF9AE}" pid="4" name="KSOTemplateDocerSaveRecord">
    <vt:lpwstr>eyJoZGlkIjoiMTZiMmE1ZTNmMjY4MmE2YjgyMDU0NGYwMmUwZjcxOTYiLCJ1c2VySWQiOiI3NjY0MjEwNDcifQ==</vt:lpwstr>
  </property>
  <property fmtid="{D5CDD505-2E9C-101B-9397-08002B2CF9AE}" pid="5" name="KSOProductBuildVer">
    <vt:lpwstr>2052-12.1.0.25225</vt:lpwstr>
  </property>
  <property fmtid="{D5CDD505-2E9C-101B-9397-08002B2CF9AE}" pid="6" name="ICV">
    <vt:lpwstr>91641E48C62048B6BCBD345AE280E078_12</vt:lpwstr>
  </property>
</Properties>
</file>