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35"/>
        </w:tabs>
        <w:adjustRightInd w:val="0"/>
        <w:snapToGrid w:val="0"/>
        <w:jc w:val="center"/>
        <w:rPr>
          <w:rFonts w:hint="eastAsia" w:ascii="仿宋_GB2312" w:eastAsia="仿宋_GB2312"/>
          <w:sz w:val="32"/>
          <w:lang w:val="en-US" w:eastAsia="zh-CN"/>
        </w:rPr>
      </w:pPr>
      <w:r>
        <w:rPr>
          <w:rFonts w:hint="eastAsia" w:ascii="仿宋_GB2312" w:eastAsia="仿宋_GB2312"/>
          <w:sz w:val="32"/>
          <w:lang w:val="en-US" w:eastAsia="zh-CN"/>
        </w:rPr>
        <w:t xml:space="preserve"> </w:t>
      </w: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jc w:val="center"/>
        <w:rPr>
          <w:rFonts w:hint="eastAsia" w:ascii="仿宋_GB2312" w:eastAsia="仿宋_GB2312"/>
          <w:sz w:val="32"/>
        </w:rPr>
      </w:pPr>
    </w:p>
    <w:p>
      <w:pPr>
        <w:adjustRightInd w:val="0"/>
        <w:snapToGrid w:val="0"/>
        <w:spacing w:line="580" w:lineRule="exact"/>
        <w:ind w:firstLine="0" w:firstLineChars="0"/>
        <w:jc w:val="center"/>
        <w:rPr>
          <w:rFonts w:hint="eastAsia" w:ascii="仿宋_GB2312" w:hAnsi="Times New Roman" w:eastAsia="仿宋_GB2312" w:cs="Times New Roman"/>
          <w:sz w:val="32"/>
          <w:szCs w:val="20"/>
        </w:rPr>
      </w:pPr>
      <w:r>
        <w:rPr>
          <w:rFonts w:hint="eastAsia" w:ascii="仿宋_GB2312" w:hAnsi="Times New Roman" w:eastAsia="仿宋_GB2312" w:cs="Times New Roman"/>
          <w:sz w:val="32"/>
          <w:szCs w:val="20"/>
        </w:rPr>
        <w:t>集政办规〔202</w:t>
      </w:r>
      <w:r>
        <w:rPr>
          <w:rFonts w:hint="eastAsia" w:ascii="仿宋_GB2312" w:hAnsi="Times New Roman" w:eastAsia="仿宋_GB2312" w:cs="Times New Roman"/>
          <w:sz w:val="32"/>
          <w:szCs w:val="20"/>
          <w:lang w:val="en-US" w:eastAsia="zh-CN"/>
        </w:rPr>
        <w:t>4</w:t>
      </w:r>
      <w:r>
        <w:rPr>
          <w:rFonts w:hint="eastAsia" w:ascii="仿宋_GB2312" w:hAnsi="Times New Roman" w:eastAsia="仿宋_GB2312" w:cs="Times New Roman"/>
          <w:sz w:val="32"/>
          <w:szCs w:val="20"/>
        </w:rPr>
        <w:t>〕</w:t>
      </w:r>
      <w:r>
        <w:rPr>
          <w:rFonts w:hint="eastAsia" w:ascii="仿宋_GB2312" w:hAnsi="Times New Roman" w:cs="Times New Roman"/>
          <w:sz w:val="32"/>
          <w:szCs w:val="20"/>
          <w:lang w:val="en-US" w:eastAsia="zh-CN"/>
        </w:rPr>
        <w:t>8</w:t>
      </w:r>
      <w:r>
        <w:rPr>
          <w:rFonts w:hint="eastAsia" w:ascii="仿宋_GB2312" w:hAnsi="Times New Roman" w:eastAsia="仿宋_GB2312" w:cs="Times New Roman"/>
          <w:sz w:val="32"/>
          <w:szCs w:val="20"/>
        </w:rPr>
        <w:t>号</w:t>
      </w:r>
    </w:p>
    <w:p>
      <w:pPr>
        <w:adjustRightInd w:val="0"/>
        <w:snapToGrid w:val="0"/>
        <w:jc w:val="center"/>
        <w:rPr>
          <w:rFonts w:hint="eastAsia" w:ascii="仿宋_GB2312"/>
          <w:sz w:val="44"/>
        </w:rPr>
      </w:pPr>
    </w:p>
    <w:p>
      <w:pPr>
        <w:adjustRightInd w:val="0"/>
        <w:snapToGrid w:val="0"/>
        <w:jc w:val="center"/>
        <w:rPr>
          <w:rFonts w:hint="eastAsia" w:ascii="方正小标宋简体" w:eastAsia="方正小标宋简体"/>
          <w:sz w:val="44"/>
          <w:szCs w:val="44"/>
        </w:rPr>
      </w:pPr>
    </w:p>
    <w:p>
      <w:pPr>
        <w:adjustRightInd w:val="0"/>
        <w:snapToGrid w:val="0"/>
        <w:spacing w:line="240" w:lineRule="auto"/>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集贤县人民政府办公室关于</w:t>
      </w:r>
    </w:p>
    <w:p>
      <w:pPr>
        <w:adjustRightInd w:val="0"/>
        <w:snapToGrid w:val="0"/>
        <w:spacing w:line="240" w:lineRule="auto"/>
        <w:ind w:firstLine="0" w:firstLineChars="0"/>
        <w:jc w:val="center"/>
        <w:rPr>
          <w:rFonts w:hint="eastAsia"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印发《</w:t>
      </w:r>
      <w:r>
        <w:rPr>
          <w:rFonts w:hint="eastAsia" w:ascii="方正小标宋简体" w:hAnsi="Times New Roman" w:eastAsia="方正小标宋简体" w:cs="Times New Roman"/>
          <w:sz w:val="44"/>
          <w:szCs w:val="44"/>
          <w:lang w:val="en-US" w:eastAsia="zh-CN"/>
        </w:rPr>
        <w:t>集贤县地震灾害应急预案</w:t>
      </w:r>
      <w:r>
        <w:rPr>
          <w:rFonts w:hint="eastAsia" w:ascii="方正小标宋简体" w:hAnsi="Times New Roman" w:eastAsia="方正小标宋简体" w:cs="Times New Roman"/>
          <w:sz w:val="44"/>
          <w:szCs w:val="44"/>
        </w:rPr>
        <w:t>》的通知</w:t>
      </w:r>
    </w:p>
    <w:p>
      <w:pPr>
        <w:spacing w:line="580" w:lineRule="exact"/>
        <w:ind w:firstLine="632" w:firstLineChars="200"/>
        <w:rPr>
          <w:rFonts w:hint="eastAsia" w:ascii="仿宋_GB2312" w:hAnsi="仿宋_GB2312" w:eastAsia="仿宋_GB2312" w:cs="仿宋_GB2312"/>
          <w:sz w:val="32"/>
          <w:szCs w:val="32"/>
        </w:rPr>
      </w:pPr>
    </w:p>
    <w:p>
      <w:pPr>
        <w:adjustRightInd w:val="0"/>
        <w:snapToGrid w:val="0"/>
        <w:spacing w:line="580" w:lineRule="exact"/>
        <w:ind w:left="0" w:leftChars="0" w:firstLine="0" w:firstLineChars="0"/>
        <w:textAlignment w:val="baseline"/>
        <w:rPr>
          <w:rFonts w:hint="eastAsia" w:ascii="楷体_GB2312" w:hAnsi="宋体" w:eastAsia="楷体_GB2312" w:cs="宋体"/>
          <w:sz w:val="32"/>
          <w:szCs w:val="32"/>
          <w:lang w:eastAsia="zh-CN"/>
        </w:rPr>
      </w:pPr>
      <w:r>
        <w:rPr>
          <w:rFonts w:hint="eastAsia" w:ascii="楷体_GB2312" w:hAnsi="宋体" w:eastAsia="楷体_GB2312" w:cs="宋体"/>
          <w:sz w:val="32"/>
          <w:szCs w:val="32"/>
          <w:lang w:eastAsia="zh-CN"/>
        </w:rPr>
        <w:t>各乡、镇人民政府，县政府直属有关单位：</w:t>
      </w:r>
    </w:p>
    <w:p>
      <w:pPr>
        <w:adjustRightInd w:val="0"/>
        <w:snapToGrid w:val="0"/>
        <w:spacing w:line="580" w:lineRule="exact"/>
        <w:ind w:firstLine="474" w:firstLineChars="150"/>
        <w:textAlignment w:val="baseline"/>
        <w:rPr>
          <w:rFonts w:hint="eastAsia" w:ascii="楷体_GB2312" w:hAnsi="宋体" w:eastAsia="楷体_GB2312" w:cs="宋体"/>
          <w:sz w:val="32"/>
          <w:szCs w:val="32"/>
          <w:lang w:eastAsia="zh-CN"/>
        </w:rPr>
      </w:pPr>
      <w:r>
        <w:rPr>
          <w:rFonts w:hint="eastAsia" w:ascii="楷体_GB2312" w:hAnsi="宋体" w:eastAsia="楷体_GB2312" w:cs="宋体"/>
          <w:sz w:val="32"/>
          <w:szCs w:val="32"/>
          <w:lang w:eastAsia="zh-CN"/>
        </w:rPr>
        <w:t>《集贤县地震灾害应急预案》已经202</w:t>
      </w:r>
      <w:r>
        <w:rPr>
          <w:rFonts w:hint="eastAsia" w:ascii="楷体_GB2312" w:hAnsi="宋体" w:eastAsia="楷体_GB2312" w:cs="宋体"/>
          <w:sz w:val="32"/>
          <w:szCs w:val="32"/>
          <w:lang w:val="en-US" w:eastAsia="zh-CN"/>
        </w:rPr>
        <w:t>4</w:t>
      </w:r>
      <w:r>
        <w:rPr>
          <w:rFonts w:hint="eastAsia" w:ascii="楷体_GB2312" w:hAnsi="宋体" w:eastAsia="楷体_GB2312" w:cs="宋体"/>
          <w:sz w:val="32"/>
          <w:szCs w:val="32"/>
          <w:lang w:eastAsia="zh-CN"/>
        </w:rPr>
        <w:t>年第</w:t>
      </w:r>
      <w:r>
        <w:rPr>
          <w:rFonts w:hint="eastAsia" w:ascii="楷体_GB2312" w:hAnsi="宋体" w:eastAsia="楷体_GB2312" w:cs="宋体"/>
          <w:sz w:val="32"/>
          <w:szCs w:val="32"/>
          <w:lang w:val="en-US" w:eastAsia="zh-CN"/>
        </w:rPr>
        <w:t>12</w:t>
      </w:r>
      <w:r>
        <w:rPr>
          <w:rFonts w:hint="eastAsia" w:ascii="楷体_GB2312" w:hAnsi="宋体" w:eastAsia="楷体_GB2312" w:cs="宋体"/>
          <w:sz w:val="32"/>
          <w:szCs w:val="32"/>
          <w:lang w:eastAsia="zh-CN"/>
        </w:rPr>
        <w:t>次县政府常务会议研究同意，现印发给你们，请认真贯彻落实。</w:t>
      </w:r>
    </w:p>
    <w:p>
      <w:pPr>
        <w:adjustRightInd w:val="0"/>
        <w:snapToGrid w:val="0"/>
        <w:spacing w:line="580" w:lineRule="exact"/>
        <w:ind w:firstLine="474" w:firstLineChars="150"/>
        <w:textAlignment w:val="baseline"/>
        <w:rPr>
          <w:rFonts w:hint="eastAsia" w:ascii="楷体_GB2312" w:hAnsi="宋体" w:eastAsia="楷体_GB2312" w:cs="宋体"/>
          <w:sz w:val="32"/>
          <w:szCs w:val="32"/>
          <w:lang w:eastAsia="zh-CN"/>
        </w:rPr>
      </w:pPr>
    </w:p>
    <w:p>
      <w:pPr>
        <w:adjustRightInd w:val="0"/>
        <w:snapToGrid w:val="0"/>
        <w:spacing w:line="580" w:lineRule="exact"/>
        <w:ind w:firstLine="4108" w:firstLineChars="1300"/>
        <w:rPr>
          <w:rFonts w:hint="eastAsia" w:ascii="楷体_GB2312" w:hAnsi="宋体" w:eastAsia="楷体_GB2312" w:cs="宋体"/>
          <w:sz w:val="32"/>
          <w:szCs w:val="32"/>
        </w:rPr>
      </w:pPr>
      <w:r>
        <w:rPr>
          <w:rFonts w:hint="eastAsia" w:ascii="楷体_GB2312" w:hAnsi="宋体" w:eastAsia="楷体_GB2312" w:cs="宋体"/>
          <w:sz w:val="32"/>
          <w:szCs w:val="32"/>
        </w:rPr>
        <w:t>集贤县人民政府办公室</w:t>
      </w:r>
    </w:p>
    <w:p>
      <w:pPr>
        <w:adjustRightInd w:val="0"/>
        <w:snapToGrid w:val="0"/>
        <w:spacing w:line="580" w:lineRule="exact"/>
        <w:ind w:firstLine="4424" w:firstLineChars="1400"/>
        <w:rPr>
          <w:rFonts w:hint="eastAsia" w:ascii="楷体_GB2312" w:hAnsi="宋体" w:eastAsia="楷体_GB2312" w:cs="宋体"/>
          <w:sz w:val="32"/>
          <w:szCs w:val="32"/>
        </w:rPr>
      </w:pPr>
      <w:r>
        <w:rPr>
          <w:rFonts w:hint="eastAsia" w:ascii="楷体_GB2312" w:hAnsi="宋体" w:eastAsia="楷体_GB2312" w:cs="宋体"/>
          <w:sz w:val="32"/>
          <w:szCs w:val="32"/>
        </w:rPr>
        <w:t>202</w:t>
      </w:r>
      <w:r>
        <w:rPr>
          <w:rFonts w:hint="eastAsia" w:ascii="楷体_GB2312" w:hAnsi="宋体" w:eastAsia="楷体_GB2312" w:cs="宋体"/>
          <w:sz w:val="32"/>
          <w:szCs w:val="32"/>
          <w:lang w:val="en-US" w:eastAsia="zh-CN"/>
        </w:rPr>
        <w:t>4</w:t>
      </w:r>
      <w:r>
        <w:rPr>
          <w:rFonts w:hint="eastAsia" w:ascii="楷体_GB2312" w:hAnsi="宋体" w:eastAsia="楷体_GB2312" w:cs="宋体"/>
          <w:sz w:val="32"/>
          <w:szCs w:val="32"/>
        </w:rPr>
        <w:t>年</w:t>
      </w:r>
      <w:r>
        <w:rPr>
          <w:rFonts w:hint="eastAsia" w:ascii="楷体_GB2312" w:hAnsi="宋体" w:eastAsia="楷体_GB2312" w:cs="宋体"/>
          <w:sz w:val="32"/>
          <w:szCs w:val="32"/>
          <w:lang w:val="en-US" w:eastAsia="zh-CN"/>
        </w:rPr>
        <w:t>12</w:t>
      </w:r>
      <w:r>
        <w:rPr>
          <w:rFonts w:hint="eastAsia" w:ascii="楷体_GB2312" w:hAnsi="宋体" w:eastAsia="楷体_GB2312" w:cs="宋体"/>
          <w:sz w:val="32"/>
          <w:szCs w:val="32"/>
        </w:rPr>
        <w:t>月</w:t>
      </w:r>
      <w:r>
        <w:rPr>
          <w:rFonts w:hint="eastAsia" w:ascii="楷体_GB2312" w:hAnsi="宋体" w:eastAsia="楷体_GB2312" w:cs="宋体"/>
          <w:sz w:val="32"/>
          <w:szCs w:val="32"/>
          <w:lang w:val="en-US" w:eastAsia="zh-CN"/>
        </w:rPr>
        <w:t>30</w:t>
      </w:r>
      <w:r>
        <w:rPr>
          <w:rFonts w:hint="eastAsia" w:ascii="楷体_GB2312" w:hAnsi="宋体" w:eastAsia="楷体_GB2312" w:cs="宋体"/>
          <w:sz w:val="32"/>
          <w:szCs w:val="32"/>
        </w:rPr>
        <w:t>日</w:t>
      </w:r>
    </w:p>
    <w:p>
      <w:pPr>
        <w:adjustRightInd w:val="0"/>
        <w:snapToGrid w:val="0"/>
        <w:jc w:val="center"/>
        <w:rPr>
          <w:rFonts w:hint="eastAsia" w:ascii="方正小标宋简体" w:hAnsi="Times New Roman" w:eastAsia="方正小标宋简体" w:cs="Times New Roman"/>
          <w:sz w:val="44"/>
          <w:szCs w:val="44"/>
          <w:lang w:val="en-US" w:eastAsia="zh-CN"/>
        </w:rPr>
      </w:pPr>
    </w:p>
    <w:p>
      <w:pPr>
        <w:adjustRightInd w:val="0"/>
        <w:snapToGrid w:val="0"/>
        <w:spacing w:line="240" w:lineRule="auto"/>
        <w:ind w:firstLine="0" w:firstLineChars="0"/>
        <w:jc w:val="center"/>
        <w:rPr>
          <w:rFonts w:hint="default" w:ascii="方正小标宋简体" w:hAnsi="Times New Roman" w:eastAsia="方正小标宋简体" w:cs="Times New Roman"/>
          <w:sz w:val="44"/>
          <w:szCs w:val="44"/>
          <w:lang w:val="en-US" w:eastAsia="zh-CN"/>
        </w:rPr>
      </w:pPr>
      <w:r>
        <w:rPr>
          <w:rFonts w:hint="eastAsia" w:ascii="方正小标宋简体" w:hAnsi="Times New Roman" w:eastAsia="方正小标宋简体" w:cs="Times New Roman"/>
          <w:sz w:val="44"/>
          <w:szCs w:val="44"/>
          <w:lang w:val="en-US" w:eastAsia="zh-CN"/>
        </w:rPr>
        <w:t>集贤县地震灾害应急预案</w:t>
      </w:r>
    </w:p>
    <w:p>
      <w:pPr>
        <w:pStyle w:val="28"/>
        <w:rPr>
          <w:rFonts w:hint="eastAsia"/>
          <w:lang w:val="en-US" w:eastAsia="zh-CN"/>
        </w:rPr>
      </w:pPr>
    </w:p>
    <w:sdt>
      <w:sdtPr>
        <w:rPr>
          <w:rFonts w:hint="eastAsia" w:ascii="方正大标宋简体" w:hAnsi="方正大标宋简体" w:eastAsia="方正大标宋简体" w:cs="方正大标宋简体"/>
          <w:b/>
          <w:bCs/>
          <w:kern w:val="2"/>
          <w:sz w:val="36"/>
          <w:szCs w:val="36"/>
          <w:lang w:val="en-US" w:eastAsia="zh-CN" w:bidi="ar-SA"/>
        </w:rPr>
        <w:id w:val="147462106"/>
        <w15:color w:val="DBDBDB"/>
        <w:docPartObj>
          <w:docPartGallery w:val="Table of Contents"/>
          <w:docPartUnique/>
        </w:docPartObj>
      </w:sdtPr>
      <w:sdtEndPr>
        <w:rPr>
          <w:rFonts w:hint="eastAsia" w:ascii="Times New Roman" w:hAnsi="Times New Roman" w:eastAsia="仿宋" w:cs="仿宋"/>
          <w:b/>
          <w:bCs/>
          <w:kern w:val="2"/>
          <w:sz w:val="32"/>
          <w:szCs w:val="32"/>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b w:val="0"/>
              <w:bCs w:val="0"/>
            </w:rPr>
          </w:pPr>
          <w:bookmarkStart w:id="0" w:name="_Toc11732"/>
          <w:r>
            <w:rPr>
              <w:rFonts w:hint="eastAsia" w:ascii="方正大标宋简体" w:hAnsi="方正大标宋简体" w:eastAsia="方正大标宋简体" w:cs="方正大标宋简体"/>
              <w:b w:val="0"/>
              <w:bCs w:val="0"/>
              <w:kern w:val="2"/>
              <w:sz w:val="36"/>
              <w:szCs w:val="36"/>
              <w:lang w:val="en-US" w:eastAsia="zh-CN" w:bidi="ar-SA"/>
            </w:rPr>
            <w:t>目  录</w:t>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TOC \o "1-2" \h \u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_Toc12547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eastAsia="zh-CN"/>
            </w:rPr>
            <w:t xml:space="preserve">1 </w:t>
          </w:r>
          <w:r>
            <w:rPr>
              <w:rFonts w:hint="eastAsia" w:ascii="Times New Roman" w:hAnsi="Times New Roman"/>
              <w:sz w:val="32"/>
              <w:szCs w:val="32"/>
              <w:lang w:val="en-US" w:eastAsia="zh-CN"/>
            </w:rPr>
            <w:t>总则</w:t>
          </w:r>
          <w:r>
            <w:rPr>
              <w:sz w:val="32"/>
              <w:szCs w:val="32"/>
            </w:rPr>
            <w:tab/>
          </w:r>
          <w:r>
            <w:rPr>
              <w:sz w:val="32"/>
              <w:szCs w:val="32"/>
            </w:rPr>
            <w:fldChar w:fldCharType="begin"/>
          </w:r>
          <w:r>
            <w:rPr>
              <w:sz w:val="32"/>
              <w:szCs w:val="32"/>
            </w:rPr>
            <w:instrText xml:space="preserve"> PAGEREF _Toc12547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_Toc24195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rPr>
            <w:t xml:space="preserve">1.1 </w:t>
          </w:r>
          <w:r>
            <w:rPr>
              <w:rFonts w:hint="eastAsia" w:ascii="Times New Roman" w:hAnsi="Times New Roman"/>
              <w:sz w:val="32"/>
              <w:szCs w:val="32"/>
              <w:lang w:val="en-US" w:eastAsia="zh-CN"/>
            </w:rPr>
            <w:t>编制目的</w:t>
          </w:r>
          <w:r>
            <w:rPr>
              <w:sz w:val="32"/>
              <w:szCs w:val="32"/>
            </w:rPr>
            <w:tab/>
          </w:r>
          <w:r>
            <w:rPr>
              <w:sz w:val="32"/>
              <w:szCs w:val="32"/>
            </w:rPr>
            <w:fldChar w:fldCharType="begin"/>
          </w:r>
          <w:r>
            <w:rPr>
              <w:sz w:val="32"/>
              <w:szCs w:val="32"/>
            </w:rPr>
            <w:instrText xml:space="preserve"> PAGEREF _Toc24195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_Toc11509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1.2 </w:t>
          </w:r>
          <w:r>
            <w:rPr>
              <w:rFonts w:hint="eastAsia" w:ascii="Times New Roman" w:hAnsi="Times New Roman"/>
              <w:sz w:val="32"/>
              <w:szCs w:val="32"/>
              <w:lang w:val="en-US" w:eastAsia="zh-CN"/>
            </w:rPr>
            <w:t>编制依据</w:t>
          </w:r>
          <w:r>
            <w:rPr>
              <w:sz w:val="32"/>
              <w:szCs w:val="32"/>
            </w:rPr>
            <w:tab/>
          </w:r>
          <w:r>
            <w:rPr>
              <w:sz w:val="32"/>
              <w:szCs w:val="32"/>
            </w:rPr>
            <w:fldChar w:fldCharType="begin"/>
          </w:r>
          <w:r>
            <w:rPr>
              <w:sz w:val="32"/>
              <w:szCs w:val="32"/>
            </w:rPr>
            <w:instrText xml:space="preserve"> PAGEREF _Toc11509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_Toc11903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rPr>
            <w:t xml:space="preserve">1.3 </w:t>
          </w:r>
          <w:r>
            <w:rPr>
              <w:rFonts w:hint="eastAsia" w:ascii="Times New Roman" w:hAnsi="Times New Roman"/>
              <w:sz w:val="32"/>
              <w:szCs w:val="32"/>
            </w:rPr>
            <w:t>适用范围</w:t>
          </w:r>
          <w:r>
            <w:rPr>
              <w:sz w:val="32"/>
              <w:szCs w:val="32"/>
            </w:rPr>
            <w:tab/>
          </w:r>
          <w:r>
            <w:rPr>
              <w:sz w:val="32"/>
              <w:szCs w:val="32"/>
            </w:rPr>
            <w:fldChar w:fldCharType="begin"/>
          </w:r>
          <w:r>
            <w:rPr>
              <w:sz w:val="32"/>
              <w:szCs w:val="32"/>
            </w:rPr>
            <w:instrText xml:space="preserve"> PAGEREF _Toc11903 \h </w:instrText>
          </w:r>
          <w:r>
            <w:rPr>
              <w:sz w:val="32"/>
              <w:szCs w:val="32"/>
            </w:rPr>
            <w:fldChar w:fldCharType="separate"/>
          </w:r>
          <w:r>
            <w:rPr>
              <w:sz w:val="32"/>
              <w:szCs w:val="32"/>
            </w:rPr>
            <w:t>4</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_Toc20022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rPr>
            <w:t xml:space="preserve">1.4 </w:t>
          </w:r>
          <w:r>
            <w:rPr>
              <w:rFonts w:hint="eastAsia" w:ascii="Times New Roman" w:hAnsi="Times New Roman"/>
              <w:sz w:val="32"/>
              <w:szCs w:val="32"/>
            </w:rPr>
            <w:t>工作原则</w:t>
          </w:r>
          <w:r>
            <w:rPr>
              <w:sz w:val="32"/>
              <w:szCs w:val="32"/>
            </w:rPr>
            <w:tab/>
          </w:r>
          <w:r>
            <w:rPr>
              <w:sz w:val="32"/>
              <w:szCs w:val="32"/>
            </w:rPr>
            <w:fldChar w:fldCharType="begin"/>
          </w:r>
          <w:r>
            <w:rPr>
              <w:sz w:val="32"/>
              <w:szCs w:val="32"/>
            </w:rPr>
            <w:instrText xml:space="preserve"> PAGEREF _Toc20022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_Toc317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rPr>
            <w:t xml:space="preserve">1.5 </w:t>
          </w:r>
          <w:r>
            <w:rPr>
              <w:rFonts w:hint="eastAsia" w:ascii="Times New Roman" w:hAnsi="Times New Roman"/>
              <w:sz w:val="32"/>
              <w:szCs w:val="32"/>
            </w:rPr>
            <w:t>应急预案体系</w:t>
          </w:r>
          <w:r>
            <w:rPr>
              <w:sz w:val="32"/>
              <w:szCs w:val="32"/>
            </w:rPr>
            <w:tab/>
          </w:r>
          <w:r>
            <w:rPr>
              <w:sz w:val="32"/>
              <w:szCs w:val="32"/>
            </w:rPr>
            <w:fldChar w:fldCharType="begin"/>
          </w:r>
          <w:r>
            <w:rPr>
              <w:sz w:val="32"/>
              <w:szCs w:val="32"/>
            </w:rPr>
            <w:instrText xml:space="preserve"> PAGEREF _Toc317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_Toc29711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2 </w:t>
          </w:r>
          <w:r>
            <w:rPr>
              <w:rFonts w:hint="eastAsia" w:ascii="Times New Roman" w:hAnsi="Times New Roman"/>
              <w:sz w:val="32"/>
              <w:szCs w:val="32"/>
              <w:lang w:val="en-US" w:eastAsia="zh-CN"/>
            </w:rPr>
            <w:t>组织指挥体系</w:t>
          </w:r>
          <w:r>
            <w:rPr>
              <w:sz w:val="32"/>
              <w:szCs w:val="32"/>
            </w:rPr>
            <w:tab/>
          </w:r>
          <w:r>
            <w:rPr>
              <w:sz w:val="32"/>
              <w:szCs w:val="32"/>
            </w:rPr>
            <w:fldChar w:fldCharType="begin"/>
          </w:r>
          <w:r>
            <w:rPr>
              <w:sz w:val="32"/>
              <w:szCs w:val="32"/>
            </w:rPr>
            <w:instrText xml:space="preserve"> PAGEREF _Toc29711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_Toc28824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2.1 </w:t>
          </w:r>
          <w:r>
            <w:rPr>
              <w:rFonts w:hint="eastAsia" w:ascii="Times New Roman" w:hAnsi="Times New Roman"/>
              <w:sz w:val="32"/>
              <w:szCs w:val="32"/>
              <w:lang w:val="en-US" w:eastAsia="zh-CN"/>
            </w:rPr>
            <w:t>县抗震救灾指挥部</w:t>
          </w:r>
          <w:r>
            <w:rPr>
              <w:sz w:val="32"/>
              <w:szCs w:val="32"/>
            </w:rPr>
            <w:tab/>
          </w:r>
          <w:r>
            <w:rPr>
              <w:sz w:val="32"/>
              <w:szCs w:val="32"/>
            </w:rPr>
            <w:fldChar w:fldCharType="begin"/>
          </w:r>
          <w:r>
            <w:rPr>
              <w:sz w:val="32"/>
              <w:szCs w:val="32"/>
            </w:rPr>
            <w:instrText xml:space="preserve"> PAGEREF _Toc28824 \h </w:instrText>
          </w:r>
          <w:r>
            <w:rPr>
              <w:sz w:val="32"/>
              <w:szCs w:val="32"/>
            </w:rPr>
            <w:fldChar w:fldCharType="separate"/>
          </w:r>
          <w:r>
            <w:rPr>
              <w:sz w:val="32"/>
              <w:szCs w:val="32"/>
            </w:rPr>
            <w:t>5</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_Toc20982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2.2 </w:t>
          </w:r>
          <w:r>
            <w:rPr>
              <w:rFonts w:hint="eastAsia" w:ascii="Times New Roman" w:hAnsi="Times New Roman"/>
              <w:sz w:val="32"/>
              <w:szCs w:val="32"/>
              <w:lang w:val="en-US" w:eastAsia="zh-CN"/>
            </w:rPr>
            <w:t>主要成员单位职责</w:t>
          </w:r>
          <w:r>
            <w:rPr>
              <w:sz w:val="32"/>
              <w:szCs w:val="32"/>
            </w:rPr>
            <w:tab/>
          </w:r>
          <w:r>
            <w:rPr>
              <w:sz w:val="32"/>
              <w:szCs w:val="32"/>
            </w:rPr>
            <w:fldChar w:fldCharType="begin"/>
          </w:r>
          <w:r>
            <w:rPr>
              <w:sz w:val="32"/>
              <w:szCs w:val="32"/>
            </w:rPr>
            <w:instrText xml:space="preserve"> PAGEREF _Toc20982 \h </w:instrText>
          </w:r>
          <w:r>
            <w:rPr>
              <w:sz w:val="32"/>
              <w:szCs w:val="32"/>
            </w:rPr>
            <w:fldChar w:fldCharType="separate"/>
          </w:r>
          <w:r>
            <w:rPr>
              <w:sz w:val="32"/>
              <w:szCs w:val="32"/>
            </w:rPr>
            <w:t>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_Toc26397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2.3 </w:t>
          </w:r>
          <w:r>
            <w:rPr>
              <w:rFonts w:hint="eastAsia" w:ascii="Times New Roman" w:hAnsi="Times New Roman"/>
              <w:sz w:val="32"/>
              <w:szCs w:val="32"/>
              <w:lang w:val="en-US" w:eastAsia="zh-CN"/>
            </w:rPr>
            <w:t>现场指挥机构</w:t>
          </w:r>
          <w:r>
            <w:rPr>
              <w:sz w:val="32"/>
              <w:szCs w:val="32"/>
            </w:rPr>
            <w:tab/>
          </w:r>
          <w:r>
            <w:rPr>
              <w:sz w:val="32"/>
              <w:szCs w:val="32"/>
            </w:rPr>
            <w:fldChar w:fldCharType="begin"/>
          </w:r>
          <w:r>
            <w:rPr>
              <w:sz w:val="32"/>
              <w:szCs w:val="32"/>
            </w:rPr>
            <w:instrText xml:space="preserve"> PAGEREF _Toc26397 \h </w:instrText>
          </w:r>
          <w:r>
            <w:rPr>
              <w:sz w:val="32"/>
              <w:szCs w:val="32"/>
            </w:rPr>
            <w:fldChar w:fldCharType="separate"/>
          </w:r>
          <w:r>
            <w:rPr>
              <w:sz w:val="32"/>
              <w:szCs w:val="32"/>
            </w:rPr>
            <w:t>12</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_Toc338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2.4 </w:t>
          </w:r>
          <w:r>
            <w:rPr>
              <w:rFonts w:hint="eastAsia" w:ascii="Times New Roman" w:hAnsi="Times New Roman"/>
              <w:sz w:val="32"/>
              <w:szCs w:val="32"/>
              <w:lang w:val="en-US" w:eastAsia="zh-CN"/>
            </w:rPr>
            <w:t>专家组</w:t>
          </w:r>
          <w:r>
            <w:rPr>
              <w:sz w:val="32"/>
              <w:szCs w:val="32"/>
            </w:rPr>
            <w:tab/>
          </w:r>
          <w:r>
            <w:rPr>
              <w:sz w:val="32"/>
              <w:szCs w:val="32"/>
            </w:rPr>
            <w:fldChar w:fldCharType="begin"/>
          </w:r>
          <w:r>
            <w:rPr>
              <w:sz w:val="32"/>
              <w:szCs w:val="32"/>
            </w:rPr>
            <w:instrText xml:space="preserve"> PAGEREF _Toc338 \h </w:instrText>
          </w:r>
          <w:r>
            <w:rPr>
              <w:sz w:val="32"/>
              <w:szCs w:val="32"/>
            </w:rPr>
            <w:fldChar w:fldCharType="separate"/>
          </w:r>
          <w:r>
            <w:rPr>
              <w:sz w:val="32"/>
              <w:szCs w:val="32"/>
            </w:rPr>
            <w:t>16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_Toc21864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3 </w:t>
          </w:r>
          <w:r>
            <w:rPr>
              <w:rFonts w:hint="eastAsia" w:ascii="Times New Roman" w:hAnsi="Times New Roman"/>
              <w:sz w:val="32"/>
              <w:szCs w:val="32"/>
              <w:lang w:val="en-US" w:eastAsia="zh-CN"/>
            </w:rPr>
            <w:t>地震灾害分级及响应机制</w:t>
          </w:r>
          <w:r>
            <w:rPr>
              <w:sz w:val="32"/>
              <w:szCs w:val="32"/>
            </w:rPr>
            <w:tab/>
          </w:r>
          <w:r>
            <w:rPr>
              <w:sz w:val="32"/>
              <w:szCs w:val="32"/>
            </w:rPr>
            <w:fldChar w:fldCharType="begin"/>
          </w:r>
          <w:r>
            <w:rPr>
              <w:sz w:val="32"/>
              <w:szCs w:val="32"/>
            </w:rPr>
            <w:instrText xml:space="preserve"> PAGEREF _Toc21864 \h </w:instrText>
          </w:r>
          <w:r>
            <w:rPr>
              <w:sz w:val="32"/>
              <w:szCs w:val="32"/>
            </w:rPr>
            <w:fldChar w:fldCharType="separate"/>
          </w:r>
          <w:r>
            <w:rPr>
              <w:sz w:val="32"/>
              <w:szCs w:val="32"/>
            </w:rPr>
            <w:t>16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_Toc8689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3.1 </w:t>
          </w:r>
          <w:r>
            <w:rPr>
              <w:rFonts w:hint="eastAsia" w:ascii="Times New Roman" w:hAnsi="Times New Roman"/>
              <w:sz w:val="32"/>
              <w:szCs w:val="32"/>
              <w:lang w:val="en-US" w:eastAsia="zh-CN"/>
            </w:rPr>
            <w:t>地震灾害分级</w:t>
          </w:r>
          <w:r>
            <w:rPr>
              <w:sz w:val="32"/>
              <w:szCs w:val="32"/>
            </w:rPr>
            <w:tab/>
          </w:r>
          <w:r>
            <w:rPr>
              <w:sz w:val="32"/>
              <w:szCs w:val="32"/>
            </w:rPr>
            <w:fldChar w:fldCharType="begin"/>
          </w:r>
          <w:r>
            <w:rPr>
              <w:sz w:val="32"/>
              <w:szCs w:val="32"/>
            </w:rPr>
            <w:instrText xml:space="preserve"> PAGEREF _Toc8689 \h </w:instrText>
          </w:r>
          <w:r>
            <w:rPr>
              <w:sz w:val="32"/>
              <w:szCs w:val="32"/>
            </w:rPr>
            <w:fldChar w:fldCharType="separate"/>
          </w:r>
          <w:r>
            <w:rPr>
              <w:sz w:val="32"/>
              <w:szCs w:val="32"/>
            </w:rPr>
            <w:t>16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_Toc3882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3.2 </w:t>
          </w:r>
          <w:r>
            <w:rPr>
              <w:rFonts w:hint="eastAsia" w:ascii="Times New Roman" w:hAnsi="Times New Roman"/>
              <w:sz w:val="32"/>
              <w:szCs w:val="32"/>
              <w:lang w:val="en-US" w:eastAsia="zh-CN"/>
            </w:rPr>
            <w:t>分级响应</w:t>
          </w:r>
          <w:r>
            <w:rPr>
              <w:sz w:val="32"/>
              <w:szCs w:val="32"/>
            </w:rPr>
            <w:tab/>
          </w:r>
          <w:r>
            <w:rPr>
              <w:sz w:val="32"/>
              <w:szCs w:val="32"/>
            </w:rPr>
            <w:fldChar w:fldCharType="begin"/>
          </w:r>
          <w:r>
            <w:rPr>
              <w:sz w:val="32"/>
              <w:szCs w:val="32"/>
            </w:rPr>
            <w:instrText xml:space="preserve"> PAGEREF _Toc3882 \h </w:instrText>
          </w:r>
          <w:r>
            <w:rPr>
              <w:sz w:val="32"/>
              <w:szCs w:val="32"/>
            </w:rPr>
            <w:fldChar w:fldCharType="separate"/>
          </w:r>
          <w:r>
            <w:rPr>
              <w:sz w:val="32"/>
              <w:szCs w:val="32"/>
            </w:rPr>
            <w:t>17</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_Toc1907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4 </w:t>
          </w:r>
          <w:r>
            <w:rPr>
              <w:rFonts w:hint="eastAsia" w:ascii="Times New Roman" w:hAnsi="Times New Roman"/>
              <w:sz w:val="32"/>
              <w:szCs w:val="32"/>
              <w:lang w:val="en-US" w:eastAsia="zh-CN"/>
            </w:rPr>
            <w:t>监测预警</w:t>
          </w:r>
          <w:r>
            <w:rPr>
              <w:sz w:val="32"/>
              <w:szCs w:val="32"/>
            </w:rPr>
            <w:tab/>
          </w:r>
          <w:r>
            <w:rPr>
              <w:sz w:val="32"/>
              <w:szCs w:val="32"/>
            </w:rPr>
            <w:fldChar w:fldCharType="begin"/>
          </w:r>
          <w:r>
            <w:rPr>
              <w:sz w:val="32"/>
              <w:szCs w:val="32"/>
            </w:rPr>
            <w:instrText xml:space="preserve"> PAGEREF _Toc1907 \h </w:instrText>
          </w:r>
          <w:r>
            <w:rPr>
              <w:sz w:val="32"/>
              <w:szCs w:val="32"/>
            </w:rPr>
            <w:fldChar w:fldCharType="separate"/>
          </w:r>
          <w:r>
            <w:rPr>
              <w:sz w:val="32"/>
              <w:szCs w:val="32"/>
            </w:rPr>
            <w:t>18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_Toc30056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4.1 </w:t>
          </w:r>
          <w:r>
            <w:rPr>
              <w:rFonts w:hint="eastAsia" w:ascii="Times New Roman" w:hAnsi="Times New Roman"/>
              <w:sz w:val="32"/>
              <w:szCs w:val="32"/>
              <w:lang w:val="en-US" w:eastAsia="zh-CN"/>
            </w:rPr>
            <w:t>地震监测</w:t>
          </w:r>
          <w:r>
            <w:rPr>
              <w:sz w:val="32"/>
              <w:szCs w:val="32"/>
            </w:rPr>
            <w:tab/>
          </w:r>
          <w:r>
            <w:rPr>
              <w:sz w:val="32"/>
              <w:szCs w:val="32"/>
            </w:rPr>
            <w:fldChar w:fldCharType="begin"/>
          </w:r>
          <w:r>
            <w:rPr>
              <w:sz w:val="32"/>
              <w:szCs w:val="32"/>
            </w:rPr>
            <w:instrText xml:space="preserve"> PAGEREF _Toc30056 \h </w:instrText>
          </w:r>
          <w:r>
            <w:rPr>
              <w:sz w:val="32"/>
              <w:szCs w:val="32"/>
            </w:rPr>
            <w:fldChar w:fldCharType="separate"/>
          </w:r>
          <w:r>
            <w:rPr>
              <w:sz w:val="32"/>
              <w:szCs w:val="32"/>
            </w:rPr>
            <w:t>18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_Toc8975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4.2 </w:t>
          </w:r>
          <w:r>
            <w:rPr>
              <w:rFonts w:hint="eastAsia" w:ascii="Times New Roman" w:hAnsi="Times New Roman"/>
              <w:sz w:val="32"/>
              <w:szCs w:val="32"/>
              <w:lang w:val="en-US" w:eastAsia="zh-CN"/>
            </w:rPr>
            <w:t>地震预警</w:t>
          </w:r>
          <w:r>
            <w:rPr>
              <w:sz w:val="32"/>
              <w:szCs w:val="32"/>
            </w:rPr>
            <w:tab/>
          </w:r>
          <w:r>
            <w:rPr>
              <w:sz w:val="32"/>
              <w:szCs w:val="32"/>
            </w:rPr>
            <w:fldChar w:fldCharType="begin"/>
          </w:r>
          <w:r>
            <w:rPr>
              <w:sz w:val="32"/>
              <w:szCs w:val="32"/>
            </w:rPr>
            <w:instrText xml:space="preserve"> PAGEREF _Toc8975 \h </w:instrText>
          </w:r>
          <w:r>
            <w:rPr>
              <w:sz w:val="32"/>
              <w:szCs w:val="32"/>
            </w:rPr>
            <w:fldChar w:fldCharType="separate"/>
          </w:r>
          <w:r>
            <w:rPr>
              <w:sz w:val="32"/>
              <w:szCs w:val="32"/>
            </w:rPr>
            <w:t>18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_Toc32697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4.3 </w:t>
          </w:r>
          <w:r>
            <w:rPr>
              <w:rFonts w:hint="eastAsia" w:ascii="Times New Roman" w:hAnsi="Times New Roman"/>
              <w:sz w:val="32"/>
              <w:szCs w:val="32"/>
              <w:lang w:val="en-US" w:eastAsia="zh-CN"/>
            </w:rPr>
            <w:t>预警行动</w:t>
          </w:r>
          <w:r>
            <w:rPr>
              <w:sz w:val="32"/>
              <w:szCs w:val="32"/>
            </w:rPr>
            <w:tab/>
          </w:r>
          <w:r>
            <w:rPr>
              <w:sz w:val="32"/>
              <w:szCs w:val="32"/>
            </w:rPr>
            <w:fldChar w:fldCharType="begin"/>
          </w:r>
          <w:r>
            <w:rPr>
              <w:sz w:val="32"/>
              <w:szCs w:val="32"/>
            </w:rPr>
            <w:instrText xml:space="preserve"> PAGEREF _Toc32697 \h </w:instrText>
          </w:r>
          <w:r>
            <w:rPr>
              <w:sz w:val="32"/>
              <w:szCs w:val="32"/>
            </w:rPr>
            <w:fldChar w:fldCharType="separate"/>
          </w:r>
          <w:r>
            <w:rPr>
              <w:sz w:val="32"/>
              <w:szCs w:val="32"/>
            </w:rPr>
            <w:t>18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_Toc5194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5 </w:t>
          </w:r>
          <w:r>
            <w:rPr>
              <w:rFonts w:hint="eastAsia" w:ascii="Times New Roman" w:hAnsi="Times New Roman"/>
              <w:sz w:val="32"/>
              <w:szCs w:val="32"/>
              <w:lang w:val="en-US" w:eastAsia="zh-CN"/>
            </w:rPr>
            <w:t>灾情报告</w:t>
          </w:r>
          <w:r>
            <w:rPr>
              <w:sz w:val="32"/>
              <w:szCs w:val="32"/>
            </w:rPr>
            <w:tab/>
          </w:r>
          <w:r>
            <w:rPr>
              <w:sz w:val="32"/>
              <w:szCs w:val="32"/>
            </w:rPr>
            <w:fldChar w:fldCharType="begin"/>
          </w:r>
          <w:r>
            <w:rPr>
              <w:sz w:val="32"/>
              <w:szCs w:val="32"/>
            </w:rPr>
            <w:instrText xml:space="preserve"> PAGEREF _Toc5194 \h </w:instrText>
          </w:r>
          <w:r>
            <w:rPr>
              <w:sz w:val="32"/>
              <w:szCs w:val="32"/>
            </w:rPr>
            <w:fldChar w:fldCharType="separate"/>
          </w:r>
          <w:r>
            <w:rPr>
              <w:sz w:val="32"/>
              <w:szCs w:val="32"/>
            </w:rPr>
            <w:t>19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_Toc1176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5.1 </w:t>
          </w:r>
          <w:r>
            <w:rPr>
              <w:rFonts w:hint="eastAsia" w:ascii="Times New Roman" w:hAnsi="Times New Roman"/>
              <w:sz w:val="32"/>
              <w:szCs w:val="32"/>
              <w:lang w:val="en-US" w:eastAsia="zh-CN"/>
            </w:rPr>
            <w:t>震情速报</w:t>
          </w:r>
          <w:r>
            <w:rPr>
              <w:sz w:val="32"/>
              <w:szCs w:val="32"/>
            </w:rPr>
            <w:tab/>
          </w:r>
          <w:r>
            <w:rPr>
              <w:sz w:val="32"/>
              <w:szCs w:val="32"/>
            </w:rPr>
            <w:fldChar w:fldCharType="begin"/>
          </w:r>
          <w:r>
            <w:rPr>
              <w:sz w:val="32"/>
              <w:szCs w:val="32"/>
            </w:rPr>
            <w:instrText xml:space="preserve"> PAGEREF _Toc1176 \h </w:instrText>
          </w:r>
          <w:r>
            <w:rPr>
              <w:sz w:val="32"/>
              <w:szCs w:val="32"/>
            </w:rPr>
            <w:fldChar w:fldCharType="separate"/>
          </w:r>
          <w:r>
            <w:rPr>
              <w:sz w:val="32"/>
              <w:szCs w:val="32"/>
            </w:rPr>
            <w:t>19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_Toc24733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5.2 </w:t>
          </w:r>
          <w:r>
            <w:rPr>
              <w:rFonts w:hint="eastAsia" w:ascii="Times New Roman" w:hAnsi="Times New Roman"/>
              <w:sz w:val="32"/>
              <w:szCs w:val="32"/>
              <w:lang w:val="en-US" w:eastAsia="zh-CN"/>
            </w:rPr>
            <w:t>信息报送</w:t>
          </w:r>
          <w:r>
            <w:rPr>
              <w:sz w:val="32"/>
              <w:szCs w:val="32"/>
            </w:rPr>
            <w:tab/>
          </w:r>
          <w:r>
            <w:rPr>
              <w:sz w:val="32"/>
              <w:szCs w:val="32"/>
            </w:rPr>
            <w:fldChar w:fldCharType="begin"/>
          </w:r>
          <w:r>
            <w:rPr>
              <w:sz w:val="32"/>
              <w:szCs w:val="32"/>
            </w:rPr>
            <w:instrText xml:space="preserve"> PAGEREF _Toc24733 \h </w:instrText>
          </w:r>
          <w:r>
            <w:rPr>
              <w:sz w:val="32"/>
              <w:szCs w:val="32"/>
            </w:rPr>
            <w:fldChar w:fldCharType="separate"/>
          </w:r>
          <w:r>
            <w:rPr>
              <w:sz w:val="32"/>
              <w:szCs w:val="32"/>
            </w:rPr>
            <w:t>19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_Toc24823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5.3 </w:t>
          </w:r>
          <w:r>
            <w:rPr>
              <w:rFonts w:hint="eastAsia" w:ascii="Times New Roman" w:hAnsi="Times New Roman"/>
              <w:sz w:val="32"/>
              <w:szCs w:val="32"/>
              <w:lang w:val="en-US" w:eastAsia="zh-CN"/>
            </w:rPr>
            <w:t>信息发布</w:t>
          </w:r>
          <w:r>
            <w:rPr>
              <w:sz w:val="32"/>
              <w:szCs w:val="32"/>
            </w:rPr>
            <w:tab/>
          </w:r>
          <w:r>
            <w:rPr>
              <w:sz w:val="32"/>
              <w:szCs w:val="32"/>
            </w:rPr>
            <w:fldChar w:fldCharType="begin"/>
          </w:r>
          <w:r>
            <w:rPr>
              <w:sz w:val="32"/>
              <w:szCs w:val="32"/>
            </w:rPr>
            <w:instrText xml:space="preserve"> PAGEREF _Toc24823 \h </w:instrText>
          </w:r>
          <w:r>
            <w:rPr>
              <w:sz w:val="32"/>
              <w:szCs w:val="32"/>
            </w:rPr>
            <w:fldChar w:fldCharType="separate"/>
          </w:r>
          <w:r>
            <w:rPr>
              <w:sz w:val="32"/>
              <w:szCs w:val="32"/>
            </w:rPr>
            <w:t>20</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_Toc4382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6 </w:t>
          </w:r>
          <w:r>
            <w:rPr>
              <w:rFonts w:hint="eastAsia" w:ascii="Times New Roman" w:hAnsi="Times New Roman"/>
              <w:sz w:val="32"/>
              <w:szCs w:val="32"/>
              <w:lang w:val="en-US" w:eastAsia="zh-CN"/>
            </w:rPr>
            <w:t>应急处置</w:t>
          </w:r>
          <w:r>
            <w:rPr>
              <w:sz w:val="32"/>
              <w:szCs w:val="32"/>
            </w:rPr>
            <w:tab/>
          </w:r>
          <w:r>
            <w:rPr>
              <w:sz w:val="32"/>
              <w:szCs w:val="32"/>
            </w:rPr>
            <w:fldChar w:fldCharType="begin"/>
          </w:r>
          <w:r>
            <w:rPr>
              <w:sz w:val="32"/>
              <w:szCs w:val="32"/>
            </w:rPr>
            <w:instrText xml:space="preserve"> PAGEREF _Toc4382 \h </w:instrText>
          </w:r>
          <w:r>
            <w:rPr>
              <w:sz w:val="32"/>
              <w:szCs w:val="32"/>
            </w:rPr>
            <w:fldChar w:fldCharType="separate"/>
          </w:r>
          <w:r>
            <w:rPr>
              <w:sz w:val="32"/>
              <w:szCs w:val="32"/>
            </w:rPr>
            <w:t>20</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_Toc25016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6.1 </w:t>
          </w:r>
          <w:r>
            <w:rPr>
              <w:rFonts w:hint="eastAsia" w:ascii="Times New Roman" w:hAnsi="Times New Roman"/>
              <w:sz w:val="32"/>
              <w:szCs w:val="32"/>
              <w:lang w:val="en-US" w:eastAsia="zh-CN"/>
            </w:rPr>
            <w:t>先期处置</w:t>
          </w:r>
          <w:r>
            <w:rPr>
              <w:sz w:val="32"/>
              <w:szCs w:val="32"/>
            </w:rPr>
            <w:tab/>
          </w:r>
          <w:r>
            <w:rPr>
              <w:sz w:val="32"/>
              <w:szCs w:val="32"/>
            </w:rPr>
            <w:fldChar w:fldCharType="begin"/>
          </w:r>
          <w:r>
            <w:rPr>
              <w:sz w:val="32"/>
              <w:szCs w:val="32"/>
            </w:rPr>
            <w:instrText xml:space="preserve"> PAGEREF _Toc25016 \h </w:instrText>
          </w:r>
          <w:r>
            <w:rPr>
              <w:sz w:val="32"/>
              <w:szCs w:val="32"/>
            </w:rPr>
            <w:fldChar w:fldCharType="separate"/>
          </w:r>
          <w:r>
            <w:rPr>
              <w:sz w:val="32"/>
              <w:szCs w:val="32"/>
            </w:rPr>
            <w:t>20</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_Toc11946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6.2 </w:t>
          </w:r>
          <w:r>
            <w:rPr>
              <w:rFonts w:hint="eastAsia" w:ascii="Times New Roman" w:hAnsi="Times New Roman"/>
              <w:sz w:val="32"/>
              <w:szCs w:val="32"/>
              <w:lang w:val="en-US" w:eastAsia="zh-CN"/>
            </w:rPr>
            <w:t>分级响应措施</w:t>
          </w:r>
          <w:r>
            <w:rPr>
              <w:sz w:val="32"/>
              <w:szCs w:val="32"/>
            </w:rPr>
            <w:tab/>
          </w:r>
          <w:r>
            <w:rPr>
              <w:sz w:val="32"/>
              <w:szCs w:val="32"/>
            </w:rPr>
            <w:fldChar w:fldCharType="begin"/>
          </w:r>
          <w:r>
            <w:rPr>
              <w:sz w:val="32"/>
              <w:szCs w:val="32"/>
            </w:rPr>
            <w:instrText xml:space="preserve"> PAGEREF _Toc11946 \h </w:instrText>
          </w:r>
          <w:r>
            <w:rPr>
              <w:sz w:val="32"/>
              <w:szCs w:val="32"/>
            </w:rPr>
            <w:fldChar w:fldCharType="separate"/>
          </w:r>
          <w:r>
            <w:rPr>
              <w:sz w:val="32"/>
              <w:szCs w:val="32"/>
            </w:rPr>
            <w:t>21</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_Toc9666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7 </w:t>
          </w:r>
          <w:r>
            <w:rPr>
              <w:rFonts w:hint="eastAsia" w:ascii="Times New Roman" w:hAnsi="Times New Roman"/>
              <w:sz w:val="32"/>
              <w:szCs w:val="32"/>
              <w:lang w:val="en-US" w:eastAsia="zh-CN"/>
            </w:rPr>
            <w:t>恢复重建</w:t>
          </w:r>
          <w:r>
            <w:rPr>
              <w:sz w:val="32"/>
              <w:szCs w:val="32"/>
            </w:rPr>
            <w:tab/>
          </w:r>
          <w:r>
            <w:rPr>
              <w:sz w:val="32"/>
              <w:szCs w:val="32"/>
            </w:rPr>
            <w:fldChar w:fldCharType="begin"/>
          </w:r>
          <w:r>
            <w:rPr>
              <w:sz w:val="32"/>
              <w:szCs w:val="32"/>
            </w:rPr>
            <w:instrText xml:space="preserve"> PAGEREF _Toc9666 \h </w:instrText>
          </w:r>
          <w:r>
            <w:rPr>
              <w:sz w:val="32"/>
              <w:szCs w:val="32"/>
            </w:rPr>
            <w:fldChar w:fldCharType="separate"/>
          </w:r>
          <w:r>
            <w:rPr>
              <w:sz w:val="32"/>
              <w:szCs w:val="32"/>
            </w:rPr>
            <w:t>25</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_Toc6178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8 </w:t>
          </w:r>
          <w:r>
            <w:rPr>
              <w:rFonts w:hint="eastAsia" w:ascii="Times New Roman" w:hAnsi="Times New Roman"/>
              <w:sz w:val="32"/>
              <w:szCs w:val="32"/>
              <w:lang w:val="en-US" w:eastAsia="zh-CN"/>
            </w:rPr>
            <w:t>保障措施</w:t>
          </w:r>
          <w:r>
            <w:rPr>
              <w:sz w:val="32"/>
              <w:szCs w:val="32"/>
            </w:rPr>
            <w:tab/>
          </w:r>
          <w:r>
            <w:rPr>
              <w:sz w:val="32"/>
              <w:szCs w:val="32"/>
            </w:rPr>
            <w:fldChar w:fldCharType="begin"/>
          </w:r>
          <w:r>
            <w:rPr>
              <w:sz w:val="32"/>
              <w:szCs w:val="32"/>
            </w:rPr>
            <w:instrText xml:space="preserve"> PAGEREF _Toc6178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_Toc9659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8.1 </w:t>
          </w:r>
          <w:r>
            <w:rPr>
              <w:rFonts w:hint="eastAsia" w:ascii="Times New Roman" w:hAnsi="Times New Roman"/>
              <w:sz w:val="32"/>
              <w:szCs w:val="32"/>
              <w:lang w:val="en-US" w:eastAsia="zh-CN"/>
            </w:rPr>
            <w:t>队伍保障</w:t>
          </w:r>
          <w:r>
            <w:rPr>
              <w:sz w:val="32"/>
              <w:szCs w:val="32"/>
            </w:rPr>
            <w:tab/>
          </w:r>
          <w:r>
            <w:rPr>
              <w:sz w:val="32"/>
              <w:szCs w:val="32"/>
            </w:rPr>
            <w:fldChar w:fldCharType="begin"/>
          </w:r>
          <w:r>
            <w:rPr>
              <w:sz w:val="32"/>
              <w:szCs w:val="32"/>
            </w:rPr>
            <w:instrText xml:space="preserve"> PAGEREF _Toc9659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_Toc19377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8.2 </w:t>
          </w:r>
          <w:r>
            <w:rPr>
              <w:rFonts w:hint="eastAsia" w:ascii="Times New Roman" w:hAnsi="Times New Roman"/>
              <w:sz w:val="32"/>
              <w:szCs w:val="32"/>
              <w:lang w:val="en-US" w:eastAsia="zh-CN"/>
            </w:rPr>
            <w:t>指挥技术系统建设</w:t>
          </w:r>
          <w:r>
            <w:rPr>
              <w:sz w:val="32"/>
              <w:szCs w:val="32"/>
            </w:rPr>
            <w:tab/>
          </w:r>
          <w:r>
            <w:rPr>
              <w:sz w:val="32"/>
              <w:szCs w:val="32"/>
            </w:rPr>
            <w:fldChar w:fldCharType="begin"/>
          </w:r>
          <w:r>
            <w:rPr>
              <w:sz w:val="32"/>
              <w:szCs w:val="32"/>
            </w:rPr>
            <w:instrText xml:space="preserve"> PAGEREF _Toc19377 \h </w:instrText>
          </w:r>
          <w:r>
            <w:rPr>
              <w:sz w:val="32"/>
              <w:szCs w:val="32"/>
            </w:rPr>
            <w:fldChar w:fldCharType="separate"/>
          </w:r>
          <w:r>
            <w:rPr>
              <w:sz w:val="32"/>
              <w:szCs w:val="32"/>
            </w:rPr>
            <w:t>26</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_Toc14013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8.3 </w:t>
          </w:r>
          <w:r>
            <w:rPr>
              <w:rFonts w:hint="eastAsia" w:ascii="Times New Roman" w:hAnsi="Times New Roman"/>
              <w:sz w:val="32"/>
              <w:szCs w:val="32"/>
              <w:lang w:val="en-US" w:eastAsia="zh-CN"/>
            </w:rPr>
            <w:t>物资与资金保障</w:t>
          </w:r>
          <w:r>
            <w:rPr>
              <w:sz w:val="32"/>
              <w:szCs w:val="32"/>
            </w:rPr>
            <w:tab/>
          </w:r>
          <w:r>
            <w:rPr>
              <w:sz w:val="32"/>
              <w:szCs w:val="32"/>
            </w:rPr>
            <w:fldChar w:fldCharType="begin"/>
          </w:r>
          <w:r>
            <w:rPr>
              <w:sz w:val="32"/>
              <w:szCs w:val="32"/>
            </w:rPr>
            <w:instrText xml:space="preserve"> PAGEREF _Toc14013 \h </w:instrText>
          </w:r>
          <w:r>
            <w:rPr>
              <w:sz w:val="32"/>
              <w:szCs w:val="32"/>
            </w:rPr>
            <w:fldChar w:fldCharType="separate"/>
          </w:r>
          <w:r>
            <w:rPr>
              <w:sz w:val="32"/>
              <w:szCs w:val="32"/>
            </w:rPr>
            <w:t>27</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_Toc17215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8.4 </w:t>
          </w:r>
          <w:r>
            <w:rPr>
              <w:rFonts w:hint="eastAsia" w:ascii="Times New Roman" w:hAnsi="Times New Roman"/>
              <w:sz w:val="32"/>
              <w:szCs w:val="32"/>
              <w:lang w:val="en-US" w:eastAsia="zh-CN"/>
            </w:rPr>
            <w:t>应急避难场所保障</w:t>
          </w:r>
          <w:r>
            <w:rPr>
              <w:sz w:val="32"/>
              <w:szCs w:val="32"/>
            </w:rPr>
            <w:tab/>
          </w:r>
          <w:r>
            <w:rPr>
              <w:sz w:val="32"/>
              <w:szCs w:val="32"/>
            </w:rPr>
            <w:fldChar w:fldCharType="begin"/>
          </w:r>
          <w:r>
            <w:rPr>
              <w:sz w:val="32"/>
              <w:szCs w:val="32"/>
            </w:rPr>
            <w:instrText xml:space="preserve"> PAGEREF _Toc17215 \h </w:instrText>
          </w:r>
          <w:r>
            <w:rPr>
              <w:sz w:val="32"/>
              <w:szCs w:val="32"/>
            </w:rPr>
            <w:fldChar w:fldCharType="separate"/>
          </w:r>
          <w:r>
            <w:rPr>
              <w:sz w:val="32"/>
              <w:szCs w:val="32"/>
            </w:rPr>
            <w:t>27</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_Toc18297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8.5 </w:t>
          </w:r>
          <w:r>
            <w:rPr>
              <w:rFonts w:hint="eastAsia" w:ascii="Times New Roman" w:hAnsi="Times New Roman"/>
              <w:sz w:val="32"/>
              <w:szCs w:val="32"/>
              <w:lang w:val="en-US" w:eastAsia="zh-CN"/>
            </w:rPr>
            <w:t>基础设施保障</w:t>
          </w:r>
          <w:r>
            <w:rPr>
              <w:sz w:val="32"/>
              <w:szCs w:val="32"/>
            </w:rPr>
            <w:tab/>
          </w:r>
          <w:r>
            <w:rPr>
              <w:sz w:val="32"/>
              <w:szCs w:val="32"/>
            </w:rPr>
            <w:fldChar w:fldCharType="begin"/>
          </w:r>
          <w:r>
            <w:rPr>
              <w:sz w:val="32"/>
              <w:szCs w:val="32"/>
            </w:rPr>
            <w:instrText xml:space="preserve"> PAGEREF _Toc18297 \h </w:instrText>
          </w:r>
          <w:r>
            <w:rPr>
              <w:sz w:val="32"/>
              <w:szCs w:val="32"/>
            </w:rPr>
            <w:fldChar w:fldCharType="separate"/>
          </w:r>
          <w:r>
            <w:rPr>
              <w:sz w:val="32"/>
              <w:szCs w:val="32"/>
            </w:rPr>
            <w:t>27</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_Toc17785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9 </w:t>
          </w:r>
          <w:r>
            <w:rPr>
              <w:rFonts w:hint="eastAsia" w:ascii="Times New Roman" w:hAnsi="Times New Roman"/>
              <w:sz w:val="32"/>
              <w:szCs w:val="32"/>
              <w:lang w:val="en-US" w:eastAsia="zh-CN"/>
            </w:rPr>
            <w:t>预案管理</w:t>
          </w:r>
          <w:r>
            <w:rPr>
              <w:sz w:val="32"/>
              <w:szCs w:val="32"/>
            </w:rPr>
            <w:tab/>
          </w:r>
          <w:r>
            <w:rPr>
              <w:sz w:val="32"/>
              <w:szCs w:val="32"/>
            </w:rPr>
            <w:fldChar w:fldCharType="begin"/>
          </w:r>
          <w:r>
            <w:rPr>
              <w:sz w:val="32"/>
              <w:szCs w:val="32"/>
            </w:rPr>
            <w:instrText xml:space="preserve"> PAGEREF _Toc17785 \h </w:instrText>
          </w:r>
          <w:r>
            <w:rPr>
              <w:sz w:val="32"/>
              <w:szCs w:val="32"/>
            </w:rPr>
            <w:fldChar w:fldCharType="separate"/>
          </w:r>
          <w:r>
            <w:rPr>
              <w:sz w:val="32"/>
              <w:szCs w:val="32"/>
            </w:rPr>
            <w:t>28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_Toc21411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9.1 </w:t>
          </w:r>
          <w:r>
            <w:rPr>
              <w:rFonts w:hint="eastAsia" w:ascii="Times New Roman" w:hAnsi="Times New Roman"/>
              <w:sz w:val="32"/>
              <w:szCs w:val="32"/>
              <w:lang w:val="en-US" w:eastAsia="zh-CN"/>
            </w:rPr>
            <w:t>评估与修订</w:t>
          </w:r>
          <w:r>
            <w:rPr>
              <w:sz w:val="32"/>
              <w:szCs w:val="32"/>
            </w:rPr>
            <w:tab/>
          </w:r>
          <w:r>
            <w:rPr>
              <w:sz w:val="32"/>
              <w:szCs w:val="32"/>
            </w:rPr>
            <w:fldChar w:fldCharType="begin"/>
          </w:r>
          <w:r>
            <w:rPr>
              <w:sz w:val="32"/>
              <w:szCs w:val="32"/>
            </w:rPr>
            <w:instrText xml:space="preserve"> PAGEREF _Toc21411 \h </w:instrText>
          </w:r>
          <w:r>
            <w:rPr>
              <w:sz w:val="32"/>
              <w:szCs w:val="32"/>
            </w:rPr>
            <w:fldChar w:fldCharType="separate"/>
          </w:r>
          <w:r>
            <w:rPr>
              <w:sz w:val="32"/>
              <w:szCs w:val="32"/>
            </w:rPr>
            <w:t>28</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_Toc22548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9.2 </w:t>
          </w:r>
          <w:r>
            <w:rPr>
              <w:rFonts w:hint="eastAsia" w:ascii="Times New Roman" w:hAnsi="Times New Roman"/>
              <w:sz w:val="32"/>
              <w:szCs w:val="32"/>
              <w:lang w:val="en-US" w:eastAsia="zh-CN"/>
            </w:rPr>
            <w:t>应急演练</w:t>
          </w:r>
          <w:r>
            <w:rPr>
              <w:sz w:val="32"/>
              <w:szCs w:val="32"/>
            </w:rPr>
            <w:tab/>
          </w:r>
          <w:r>
            <w:rPr>
              <w:sz w:val="32"/>
              <w:szCs w:val="32"/>
            </w:rPr>
            <w:fldChar w:fldCharType="begin"/>
          </w:r>
          <w:r>
            <w:rPr>
              <w:sz w:val="32"/>
              <w:szCs w:val="32"/>
            </w:rPr>
            <w:instrText xml:space="preserve"> PAGEREF _Toc22548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_Toc10148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9.3 </w:t>
          </w:r>
          <w:r>
            <w:rPr>
              <w:rFonts w:hint="eastAsia" w:ascii="Times New Roman" w:hAnsi="Times New Roman"/>
              <w:sz w:val="32"/>
              <w:szCs w:val="32"/>
              <w:lang w:val="en-US" w:eastAsia="zh-CN"/>
            </w:rPr>
            <w:t>宣传与培训</w:t>
          </w:r>
          <w:r>
            <w:rPr>
              <w:sz w:val="32"/>
              <w:szCs w:val="32"/>
            </w:rPr>
            <w:tab/>
          </w:r>
          <w:r>
            <w:rPr>
              <w:sz w:val="32"/>
              <w:szCs w:val="32"/>
            </w:rPr>
            <w:fldChar w:fldCharType="begin"/>
          </w:r>
          <w:r>
            <w:rPr>
              <w:sz w:val="32"/>
              <w:szCs w:val="32"/>
            </w:rPr>
            <w:instrText xml:space="preserve"> PAGEREF _Toc10148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_Toc9530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9.4 </w:t>
          </w:r>
          <w:r>
            <w:rPr>
              <w:rFonts w:hint="eastAsia" w:ascii="Times New Roman" w:hAnsi="Times New Roman"/>
              <w:sz w:val="32"/>
              <w:szCs w:val="32"/>
              <w:lang w:val="en-US" w:eastAsia="zh-CN"/>
            </w:rPr>
            <w:t>监督与奖惩</w:t>
          </w:r>
          <w:r>
            <w:rPr>
              <w:sz w:val="32"/>
              <w:szCs w:val="32"/>
            </w:rPr>
            <w:tab/>
          </w:r>
          <w:r>
            <w:rPr>
              <w:sz w:val="32"/>
              <w:szCs w:val="32"/>
            </w:rPr>
            <w:fldChar w:fldCharType="begin"/>
          </w:r>
          <w:r>
            <w:rPr>
              <w:sz w:val="32"/>
              <w:szCs w:val="32"/>
            </w:rPr>
            <w:instrText xml:space="preserve"> PAGEREF _Toc9530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8"/>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_Toc7899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val="0"/>
              <w:sz w:val="32"/>
              <w:szCs w:val="32"/>
              <w:lang w:val="en-US" w:eastAsia="zh-CN"/>
            </w:rPr>
            <w:t xml:space="preserve">10 </w:t>
          </w:r>
          <w:r>
            <w:rPr>
              <w:rFonts w:hint="eastAsia" w:ascii="Times New Roman" w:hAnsi="Times New Roman"/>
              <w:sz w:val="32"/>
              <w:szCs w:val="32"/>
              <w:lang w:val="en-US" w:eastAsia="zh-CN"/>
            </w:rPr>
            <w:t>附则</w:t>
          </w:r>
          <w:r>
            <w:rPr>
              <w:sz w:val="32"/>
              <w:szCs w:val="32"/>
            </w:rPr>
            <w:tab/>
          </w:r>
          <w:r>
            <w:rPr>
              <w:sz w:val="32"/>
              <w:szCs w:val="32"/>
            </w:rPr>
            <w:fldChar w:fldCharType="begin"/>
          </w:r>
          <w:r>
            <w:rPr>
              <w:sz w:val="32"/>
              <w:szCs w:val="32"/>
            </w:rPr>
            <w:instrText xml:space="preserve"> PAGEREF _Toc7899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rPr>
              <w:sz w:val="32"/>
              <w:szCs w:val="32"/>
            </w:rPr>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_Toc30012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10.1 </w:t>
          </w:r>
          <w:r>
            <w:rPr>
              <w:rFonts w:hint="eastAsia" w:ascii="Times New Roman" w:hAnsi="Times New Roman"/>
              <w:sz w:val="32"/>
              <w:szCs w:val="32"/>
              <w:lang w:val="en-US" w:eastAsia="zh-CN"/>
            </w:rPr>
            <w:t>名词术语解释</w:t>
          </w:r>
          <w:r>
            <w:rPr>
              <w:sz w:val="32"/>
              <w:szCs w:val="32"/>
            </w:rPr>
            <w:tab/>
          </w:r>
          <w:r>
            <w:rPr>
              <w:sz w:val="32"/>
              <w:szCs w:val="32"/>
            </w:rPr>
            <w:fldChar w:fldCharType="begin"/>
          </w:r>
          <w:r>
            <w:rPr>
              <w:sz w:val="32"/>
              <w:szCs w:val="32"/>
            </w:rPr>
            <w:instrText xml:space="preserve"> PAGEREF _Toc30012 \h </w:instrText>
          </w:r>
          <w:r>
            <w:rPr>
              <w:sz w:val="32"/>
              <w:szCs w:val="32"/>
            </w:rPr>
            <w:fldChar w:fldCharType="separate"/>
          </w:r>
          <w:r>
            <w:rPr>
              <w:sz w:val="32"/>
              <w:szCs w:val="32"/>
            </w:rPr>
            <w:t>29</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9"/>
            <w:tabs>
              <w:tab w:val="right" w:leader="dot" w:pos="8845"/>
            </w:tabs>
          </w:pP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\l _Toc6397 </w:instrText>
          </w:r>
          <w:r>
            <w:rPr>
              <w:rFonts w:hint="eastAsia" w:ascii="仿宋_GB2312" w:hAnsi="仿宋_GB2312" w:eastAsia="仿宋_GB2312" w:cs="仿宋_GB2312"/>
              <w:sz w:val="32"/>
              <w:szCs w:val="32"/>
              <w:lang w:val="en-US" w:eastAsia="zh-CN"/>
            </w:rPr>
            <w:fldChar w:fldCharType="separate"/>
          </w:r>
          <w:r>
            <w:rPr>
              <w:rFonts w:hint="default" w:ascii="Times New Roman" w:hAnsi="Times New Roman" w:eastAsia="仿宋" w:cs="Times New Roman"/>
              <w:bCs/>
              <w:sz w:val="32"/>
              <w:szCs w:val="32"/>
              <w:lang w:val="en-US" w:eastAsia="zh-CN"/>
            </w:rPr>
            <w:t xml:space="preserve">10.2 </w:t>
          </w:r>
          <w:r>
            <w:rPr>
              <w:rFonts w:hint="eastAsia" w:ascii="Times New Roman" w:hAnsi="Times New Roman"/>
              <w:sz w:val="32"/>
              <w:szCs w:val="32"/>
              <w:lang w:val="en-US" w:eastAsia="zh-CN"/>
            </w:rPr>
            <w:t>预案解释与实施</w:t>
          </w:r>
          <w:r>
            <w:rPr>
              <w:sz w:val="32"/>
              <w:szCs w:val="32"/>
            </w:rPr>
            <w:tab/>
          </w:r>
          <w:r>
            <w:rPr>
              <w:sz w:val="32"/>
              <w:szCs w:val="32"/>
            </w:rPr>
            <w:fldChar w:fldCharType="begin"/>
          </w:r>
          <w:r>
            <w:rPr>
              <w:sz w:val="32"/>
              <w:szCs w:val="32"/>
            </w:rPr>
            <w:instrText xml:space="preserve"> PAGEREF _Toc6397 \h </w:instrText>
          </w:r>
          <w:r>
            <w:rPr>
              <w:sz w:val="32"/>
              <w:szCs w:val="32"/>
            </w:rPr>
            <w:fldChar w:fldCharType="separate"/>
          </w:r>
          <w:r>
            <w:rPr>
              <w:sz w:val="32"/>
              <w:szCs w:val="32"/>
            </w:rPr>
            <w:t>30</w:t>
          </w:r>
          <w:r>
            <w:rPr>
              <w:sz w:val="32"/>
              <w:szCs w:val="32"/>
            </w:rPr>
            <w:fldChar w:fldCharType="end"/>
          </w:r>
          <w:r>
            <w:rPr>
              <w:rFonts w:hint="eastAsia" w:ascii="仿宋_GB2312" w:hAnsi="仿宋_GB2312" w:eastAsia="仿宋_GB2312" w:cs="仿宋_GB2312"/>
              <w:sz w:val="32"/>
              <w:szCs w:val="32"/>
              <w:lang w:val="en-US" w:eastAsia="zh-CN"/>
            </w:rPr>
            <w:fldChar w:fldCharType="end"/>
          </w:r>
        </w:p>
        <w:p>
          <w:pPr>
            <w:pStyle w:val="15"/>
            <w:ind w:left="0" w:leftChars="0" w:firstLine="0" w:firstLineChars="0"/>
            <w:rPr>
              <w:rFonts w:hint="eastAsia" w:ascii="Times New Roman" w:hAnsi="Times New Roman" w:eastAsia="仿宋" w:cs="仿宋"/>
              <w:b/>
              <w:kern w:val="2"/>
              <w:sz w:val="32"/>
              <w:szCs w:val="32"/>
              <w:lang w:val="en-US" w:eastAsia="zh-CN" w:bidi="ar-SA"/>
            </w:rPr>
          </w:pPr>
          <w:r>
            <w:rPr>
              <w:rFonts w:hint="eastAsia" w:ascii="仿宋_GB2312" w:hAnsi="仿宋_GB2312" w:eastAsia="仿宋_GB2312" w:cs="仿宋_GB2312"/>
              <w:szCs w:val="32"/>
              <w:lang w:val="en-US" w:eastAsia="zh-CN"/>
            </w:rPr>
            <w:fldChar w:fldCharType="end"/>
          </w:r>
        </w:p>
      </w:sdtContent>
    </w:sdt>
    <w:p>
      <w:pPr>
        <w:pStyle w:val="15"/>
        <w:ind w:left="0" w:leftChars="0" w:firstLine="0" w:firstLineChars="0"/>
        <w:rPr>
          <w:rFonts w:hint="eastAsia" w:ascii="Times New Roman" w:hAnsi="Times New Roman" w:eastAsia="仿宋" w:cs="仿宋"/>
          <w:b/>
          <w:kern w:val="2"/>
          <w:sz w:val="32"/>
          <w:szCs w:val="32"/>
          <w:lang w:val="en-US" w:eastAsia="zh-CN" w:bidi="ar-SA"/>
        </w:rPr>
      </w:pPr>
    </w:p>
    <w:p>
      <w:pPr>
        <w:rPr>
          <w:rFonts w:hint="eastAsia"/>
          <w:lang w:eastAsia="zh-CN"/>
        </w:rPr>
        <w:sectPr>
          <w:headerReference r:id="rId5" w:type="default"/>
          <w:footerReference r:id="rId7" w:type="default"/>
          <w:headerReference r:id="rId6" w:type="even"/>
          <w:footerReference r:id="rId8" w:type="even"/>
          <w:pgSz w:w="11906" w:h="16838"/>
          <w:pgMar w:top="2098" w:right="1474" w:bottom="1984" w:left="1587" w:header="624" w:footer="1134" w:gutter="0"/>
          <w:pgBorders>
            <w:top w:val="none" w:sz="0" w:space="0"/>
            <w:left w:val="none" w:sz="0" w:space="0"/>
            <w:bottom w:val="none" w:sz="0" w:space="0"/>
            <w:right w:val="none" w:sz="0" w:space="0"/>
          </w:pgBorders>
          <w:pgNumType w:fmt="decimal" w:start="1"/>
          <w:cols w:space="0" w:num="1"/>
          <w:rtlGutter w:val="0"/>
          <w:docGrid w:type="linesAndChars" w:linePitch="579" w:charSpace="-842"/>
        </w:sectPr>
      </w:pP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 w:name="_Toc12547"/>
      <w:r>
        <w:rPr>
          <w:rFonts w:hint="eastAsia" w:ascii="Times New Roman" w:hAnsi="Times New Roman"/>
          <w:b w:val="0"/>
          <w:bCs/>
          <w:sz w:val="32"/>
          <w:szCs w:val="32"/>
          <w:lang w:val="en-US" w:eastAsia="zh-CN"/>
        </w:rPr>
        <w:t>总则</w:t>
      </w:r>
      <w:bookmarkEnd w:id="0"/>
      <w:bookmarkEnd w:id="1"/>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ascii="Times New Roman" w:hAnsi="Times New Roman"/>
          <w:b w:val="0"/>
          <w:bCs/>
          <w:sz w:val="32"/>
          <w:szCs w:val="32"/>
        </w:rPr>
      </w:pPr>
      <w:bookmarkStart w:id="2" w:name="_Toc24195"/>
      <w:r>
        <w:rPr>
          <w:rFonts w:hint="eastAsia" w:ascii="Times New Roman" w:hAnsi="Times New Roman"/>
          <w:b w:val="0"/>
          <w:bCs/>
          <w:sz w:val="32"/>
          <w:szCs w:val="32"/>
          <w:lang w:val="en-US" w:eastAsia="zh-CN"/>
        </w:rPr>
        <w:t>编制目的</w:t>
      </w:r>
      <w:bookmarkEnd w:id="2"/>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bookmarkStart w:id="3" w:name="_Toc19191"/>
      <w:r>
        <w:rPr>
          <w:rFonts w:hint="eastAsia" w:ascii="Times New Roman" w:hAnsi="Times New Roman"/>
          <w:b w:val="0"/>
          <w:bCs w:val="0"/>
          <w:sz w:val="32"/>
          <w:szCs w:val="32"/>
          <w:lang w:val="en-US" w:eastAsia="zh-CN"/>
        </w:rPr>
        <w:t>全面深入贯彻落实习近平总书记关于应急管理和防灾减灾救灾工作系列重要论述，健全完善集贤县抗震救灾工作机制，持续深入防范重大地震灾害风险，有力有效应对组织开展集贤县地震应急处置工作，最大程度减少人员伤亡和财产损失，维护社会正常秩序。</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4" w:name="_Toc15793"/>
      <w:bookmarkStart w:id="5" w:name="_Toc11509"/>
      <w:r>
        <w:rPr>
          <w:rFonts w:hint="eastAsia" w:ascii="Times New Roman" w:hAnsi="Times New Roman"/>
          <w:b w:val="0"/>
          <w:bCs/>
          <w:sz w:val="32"/>
          <w:szCs w:val="32"/>
          <w:lang w:val="en-US" w:eastAsia="zh-CN"/>
        </w:rPr>
        <w:t>编制依据</w:t>
      </w:r>
      <w:bookmarkEnd w:id="4"/>
      <w:bookmarkEnd w:id="5"/>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依据《中华人民共和国突发事件应对法》《中华人民共和国防震减灾法》《突发事件应急预案管理办法》《国家地震应急预案》《黑龙江省防震减灾条例》《黑龙江省人民政府突发公共事件总体应急预案》《黑龙江省地震灾害应急预案》《双鸭山市突发公共事件总体应急预案》《双鸭山市地震灾害应急预案》《集贤县突发事件总体应急预案》等法律法规及有关规定，制定本预案。</w:t>
      </w:r>
    </w:p>
    <w:p>
      <w:pPr>
        <w:pStyle w:val="4"/>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rPr>
      </w:pPr>
      <w:bookmarkStart w:id="6" w:name="_Toc9969"/>
      <w:bookmarkStart w:id="7" w:name="_Toc11903"/>
      <w:r>
        <w:rPr>
          <w:rFonts w:hint="eastAsia" w:ascii="Times New Roman" w:hAnsi="Times New Roman"/>
          <w:b w:val="0"/>
          <w:bCs/>
          <w:sz w:val="32"/>
          <w:szCs w:val="32"/>
        </w:rPr>
        <w:t>适用范围</w:t>
      </w:r>
      <w:bookmarkEnd w:id="3"/>
      <w:bookmarkEnd w:id="6"/>
      <w:bookmarkEnd w:id="7"/>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bookmarkStart w:id="8" w:name="_Toc7587"/>
      <w:r>
        <w:rPr>
          <w:rFonts w:hint="eastAsia" w:ascii="Times New Roman" w:hAnsi="Times New Roman"/>
          <w:b w:val="0"/>
          <w:bCs w:val="0"/>
          <w:sz w:val="32"/>
          <w:szCs w:val="32"/>
          <w:lang w:val="en-US" w:eastAsia="zh-CN"/>
        </w:rPr>
        <w:t>本预案适用于全县行政区域内的地震灾害、其他地区发生地震对我县产生影响的地震灾害及其他地震事件的应急处置。</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因地震灾害引发的山体滑坡、泥石流、水库决堤、危险化学品事故等突发事件，按照相关应急预案规定开展应对工作。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当预案执行中与实际地震应急处置情况不一致时，根据实际作出相应调整。</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 w:name="_Toc1901"/>
      <w:bookmarkStart w:id="10" w:name="_Toc20022"/>
      <w:r>
        <w:rPr>
          <w:rFonts w:hint="eastAsia" w:ascii="Times New Roman" w:hAnsi="Times New Roman"/>
          <w:b w:val="0"/>
          <w:bCs/>
          <w:sz w:val="32"/>
          <w:szCs w:val="32"/>
          <w:lang w:val="en-US" w:eastAsia="zh-CN"/>
        </w:rPr>
        <w:t>工作原则</w:t>
      </w:r>
      <w:bookmarkEnd w:id="8"/>
      <w:bookmarkEnd w:id="9"/>
      <w:bookmarkEnd w:id="10"/>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（1）在县委、县政府的领导下，建立统一指挥、专常兼备、反应灵敏、上下联动、平战结合的工作机制，实行领导、部门责任制。</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（2）地震灾害发生后，受灾乡镇政府及其有关部门立即自动按照职责分工和相关预案开展前期处置工作。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（3）国务院和省政府是应对省内重大以上地震灾害的主体，双鸭山市政府是应对双鸭山市行政区域较大地震灾害的主体，集贤县政府是应对本县行政区域一般地震灾害的主体。</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1" w:name="_Toc13925"/>
      <w:bookmarkStart w:id="12" w:name="_Toc20682"/>
      <w:bookmarkStart w:id="13" w:name="_Toc21728"/>
      <w:bookmarkStart w:id="14" w:name="_Toc21065"/>
      <w:bookmarkStart w:id="15" w:name="_Toc31812"/>
      <w:bookmarkStart w:id="16" w:name="_Toc12129"/>
      <w:bookmarkStart w:id="17" w:name="_Toc4204"/>
      <w:bookmarkStart w:id="18" w:name="_Toc15798"/>
      <w:bookmarkStart w:id="19" w:name="_Toc30930"/>
      <w:bookmarkStart w:id="20" w:name="_Toc603"/>
      <w:bookmarkStart w:id="21" w:name="_Toc317"/>
      <w:bookmarkStart w:id="22" w:name="_Toc26339"/>
      <w:bookmarkStart w:id="23" w:name="_Toc238"/>
      <w:bookmarkStart w:id="24" w:name="_Toc29179"/>
      <w:bookmarkStart w:id="25" w:name="_Toc2375"/>
      <w:bookmarkStart w:id="26" w:name="_Toc15055"/>
      <w:r>
        <w:rPr>
          <w:rFonts w:hint="eastAsia" w:ascii="Times New Roman" w:hAnsi="Times New Roman"/>
          <w:b w:val="0"/>
          <w:bCs/>
          <w:sz w:val="32"/>
          <w:szCs w:val="32"/>
          <w:lang w:val="en-US" w:eastAsia="zh-CN"/>
        </w:rPr>
        <w:t>应急预案体系</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default" w:ascii="Times New Roman" w:hAnsi="Times New Roman"/>
          <w:b w:val="0"/>
          <w:bCs w:val="0"/>
          <w:sz w:val="32"/>
          <w:szCs w:val="32"/>
          <w:lang w:val="en-US" w:eastAsia="zh-CN"/>
        </w:rPr>
        <w:t>本预案是《</w:t>
      </w:r>
      <w:r>
        <w:rPr>
          <w:rFonts w:hint="eastAsia" w:ascii="Times New Roman" w:hAnsi="Times New Roman"/>
          <w:b w:val="0"/>
          <w:bCs w:val="0"/>
          <w:sz w:val="32"/>
          <w:szCs w:val="32"/>
          <w:lang w:val="en-US" w:eastAsia="zh-CN"/>
        </w:rPr>
        <w:t>集贤县突发公共事件总体应急预案</w:t>
      </w:r>
      <w:r>
        <w:rPr>
          <w:rFonts w:hint="default" w:ascii="Times New Roman" w:hAnsi="Times New Roman"/>
          <w:b w:val="0"/>
          <w:bCs w:val="0"/>
          <w:sz w:val="32"/>
          <w:szCs w:val="32"/>
          <w:lang w:val="en-US" w:eastAsia="zh-CN"/>
        </w:rPr>
        <w:t>》的重要组成部分，上与《</w:t>
      </w:r>
      <w:r>
        <w:rPr>
          <w:rFonts w:hint="eastAsia" w:ascii="Times New Roman" w:hAnsi="Times New Roman"/>
          <w:b w:val="0"/>
          <w:bCs w:val="0"/>
          <w:sz w:val="32"/>
          <w:szCs w:val="32"/>
          <w:lang w:val="en-US" w:eastAsia="zh-CN"/>
        </w:rPr>
        <w:t>双鸭山市</w:t>
      </w:r>
      <w:r>
        <w:rPr>
          <w:rFonts w:hint="default" w:ascii="Times New Roman" w:hAnsi="Times New Roman"/>
          <w:b w:val="0"/>
          <w:bCs w:val="0"/>
          <w:sz w:val="32"/>
          <w:szCs w:val="32"/>
          <w:lang w:val="en-US" w:eastAsia="zh-CN"/>
        </w:rPr>
        <w:t>地震</w:t>
      </w:r>
      <w:r>
        <w:rPr>
          <w:rFonts w:hint="eastAsia" w:ascii="Times New Roman" w:hAnsi="Times New Roman"/>
          <w:b w:val="0"/>
          <w:bCs w:val="0"/>
          <w:sz w:val="32"/>
          <w:szCs w:val="32"/>
          <w:lang w:val="en-US" w:eastAsia="zh-CN"/>
        </w:rPr>
        <w:t>灾害</w:t>
      </w:r>
      <w:r>
        <w:rPr>
          <w:rFonts w:hint="default" w:ascii="Times New Roman" w:hAnsi="Times New Roman"/>
          <w:b w:val="0"/>
          <w:bCs w:val="0"/>
          <w:sz w:val="32"/>
          <w:szCs w:val="32"/>
          <w:lang w:val="en-US" w:eastAsia="zh-CN"/>
        </w:rPr>
        <w:t>应急预案》《</w:t>
      </w:r>
      <w:r>
        <w:rPr>
          <w:rFonts w:hint="eastAsia" w:ascii="Times New Roman" w:hAnsi="Times New Roman"/>
          <w:b w:val="0"/>
          <w:bCs w:val="0"/>
          <w:sz w:val="32"/>
          <w:szCs w:val="32"/>
          <w:lang w:val="en-US" w:eastAsia="zh-CN"/>
        </w:rPr>
        <w:t>集贤县突发公共事件总体应急预案</w:t>
      </w:r>
      <w:r>
        <w:rPr>
          <w:rFonts w:hint="default" w:ascii="Times New Roman" w:hAnsi="Times New Roman"/>
          <w:b w:val="0"/>
          <w:bCs w:val="0"/>
          <w:sz w:val="32"/>
          <w:szCs w:val="32"/>
          <w:lang w:val="en-US" w:eastAsia="zh-CN"/>
        </w:rPr>
        <w:t>》相衔接。各</w:t>
      </w:r>
      <w:r>
        <w:rPr>
          <w:rFonts w:hint="eastAsia" w:ascii="Times New Roman" w:hAnsi="Times New Roman"/>
          <w:b w:val="0"/>
          <w:bCs w:val="0"/>
          <w:sz w:val="32"/>
          <w:szCs w:val="32"/>
          <w:lang w:val="en-US" w:eastAsia="zh-CN"/>
        </w:rPr>
        <w:t>乡镇政府</w:t>
      </w:r>
      <w:r>
        <w:rPr>
          <w:rFonts w:hint="default" w:ascii="Times New Roman" w:hAnsi="Times New Roman"/>
          <w:b w:val="0"/>
          <w:bCs w:val="0"/>
          <w:sz w:val="32"/>
          <w:szCs w:val="32"/>
          <w:lang w:val="en-US" w:eastAsia="zh-CN"/>
        </w:rPr>
        <w:t>地震</w:t>
      </w:r>
      <w:r>
        <w:rPr>
          <w:rFonts w:hint="eastAsia" w:ascii="Times New Roman" w:hAnsi="Times New Roman"/>
          <w:b w:val="0"/>
          <w:bCs w:val="0"/>
          <w:sz w:val="32"/>
          <w:szCs w:val="32"/>
          <w:lang w:val="en-US" w:eastAsia="zh-CN"/>
        </w:rPr>
        <w:t>灾害</w:t>
      </w:r>
      <w:r>
        <w:rPr>
          <w:rFonts w:hint="default" w:ascii="Times New Roman" w:hAnsi="Times New Roman"/>
          <w:b w:val="0"/>
          <w:bCs w:val="0"/>
          <w:sz w:val="32"/>
          <w:szCs w:val="32"/>
          <w:lang w:val="en-US" w:eastAsia="zh-CN"/>
        </w:rPr>
        <w:t>应急预案应与本预案相衔接。</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7" w:name="_Toc29711"/>
      <w:r>
        <w:rPr>
          <w:rFonts w:hint="eastAsia" w:ascii="Times New Roman" w:hAnsi="Times New Roman"/>
          <w:b w:val="0"/>
          <w:bCs/>
          <w:sz w:val="32"/>
          <w:szCs w:val="32"/>
          <w:lang w:val="en-US" w:eastAsia="zh-CN"/>
        </w:rPr>
        <w:t>组织指挥体系</w:t>
      </w:r>
      <w:bookmarkEnd w:id="27"/>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8" w:name="_Toc28824"/>
      <w:r>
        <w:rPr>
          <w:rFonts w:hint="eastAsia" w:ascii="Times New Roman" w:hAnsi="Times New Roman"/>
          <w:b w:val="0"/>
          <w:bCs/>
          <w:sz w:val="32"/>
          <w:szCs w:val="32"/>
          <w:lang w:val="en-US" w:eastAsia="zh-CN"/>
        </w:rPr>
        <w:t>县抗震救灾指挥部</w:t>
      </w:r>
      <w:bookmarkEnd w:id="28"/>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集贤县抗震救灾指挥部（以下简称县指挥部）为全县抗震救灾应急综合协调机构，在县委、县政府的统一领导下，负责组织、协调全县范围内抗震救灾工作。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负责指导和检查全县地震应急准备、抗震救灾工作和应急体系建设；建立完善信息共享、协作联动等工作机制；负责启动县级突发地震应急响应，研究制定应急处置措施；组织、指挥、协调各级抢险救援力量，做好地震应急救援工作；收集、掌握地震震灾有关信息，按规定做好震情震灾等信息发布，向双鸭山市政府和双鸭山市抗震救灾指挥部报告工作信息和抗震救灾情况；指导协调县级有关部门和乡镇开展抗震救灾、灾后恢复与重建工作。</w:t>
      </w:r>
    </w:p>
    <w:p>
      <w:pPr>
        <w:pStyle w:val="12"/>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主  任：县委常委、常务副县长</w:t>
      </w:r>
    </w:p>
    <w:p>
      <w:pPr>
        <w:pStyle w:val="12"/>
        <w:pageBreakBefore w:val="0"/>
        <w:kinsoku/>
        <w:wordWrap/>
        <w:overflowPunct/>
        <w:topLinePunct w:val="0"/>
        <w:autoSpaceDE/>
        <w:autoSpaceDN/>
        <w:bidi w:val="0"/>
        <w:adjustRightInd w:val="0"/>
        <w:snapToGrid w:val="0"/>
        <w:spacing w:line="576" w:lineRule="exact"/>
        <w:ind w:firstLine="632" w:firstLineChars="200"/>
        <w:rPr>
          <w:rFonts w:hint="default"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副主任：县应急管理局局长</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指挥部下设县抗震救灾指挥部办公室，设在县应急管理局，办公室主任由县应急管理局分管副局长兼任。主要负责按照分级负责原则，组织协调地震灾害应急救援工作，并按照权限作出决定；统一发布地震灾情，指导开展地震灾害风险评估；汇集、上报震情灾情和抗震救灾进展情况，向县指挥部提出具体的抗震救灾方案和措施建议；贯彻双鸭山市抗震救灾指挥部的指示和部署，协调并督促有关乡镇政府、县抗震救灾指挥部成员单位落实应急工作，协调各救援队伍的救援行动；拟定新闻工作方案，指导抗震救灾宣传，组织召开新闻发布会，审核有关新闻稿；起草县指挥部文件、简报，负责县指挥部各类文书资料的准备和整理归档；承担县指挥部日常事务和交办的其他工作。</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29" w:name="_Toc20982"/>
      <w:r>
        <w:rPr>
          <w:rFonts w:hint="eastAsia" w:ascii="Times New Roman" w:hAnsi="Times New Roman"/>
          <w:b w:val="0"/>
          <w:bCs/>
          <w:sz w:val="32"/>
          <w:szCs w:val="32"/>
          <w:lang w:val="en-US" w:eastAsia="zh-CN"/>
        </w:rPr>
        <w:t>主要成员单位职责</w:t>
      </w:r>
      <w:bookmarkEnd w:id="29"/>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县指挥部成员单位根据应急响应级别，按照县指挥部的统一部署和各自职责做好抗震救灾相关工作。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应急管理局：负责编制县级抗震救灾应急预案，指导各乡镇政府编制本级地震灾害预案或工作方案并开展演练；负责组织协调地震应急救援工作，指导协调救援队伍参与抢险救灾、调运抢险救援物资和开展救灾捐赠；组织开展地震灾情调查统计评估和灾后救助，依法统一发布灾情；督促指导协调震区安全生产工作；负责协调县外救援队伍在本县救援工作。配合省、市地震部门开展地震监测预警、地震震情速报、现场流动监测、震情监视跟踪、烈度评定、地震现场科学考察等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县委宣传部：指导全县抗震救灾和防震减灾新闻宣传工作，正确引导社会舆论；指导做好网络舆情管理工作。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县人武部：组织所属民兵参加抢险救灾行动；协调辖区其他部队参与抢险救灾工作。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公安局：负责灾区及周边道路的交通管制和疏导，维护交通秩序，优先保障灾区伤员、物资运送车辆通行；负责党政机关、重要部门、金融单位、救济物品集散点、储备仓库等重要目标的警戒；负责灾区社会治安管理和重点目标的安全保卫，预防和打击各种违法犯罪活动，维护社会治安，保证抢险救灾工作顺利进行。</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县财政局：负责安排县级各项抗震救灾救助资金预算；按时拨付中央和省、市级救灾资金。</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县审计局：负责依法对抗震救灾救助资金、社会捐助资金、国际组织和外国政府援助资金的财政收支情况进行审计。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县统计局：负责提供全县经济和社会发展基本统计信息，协助相关部门做好上级部门交办的其他统计工作。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民政局：负责灾害救助政策与临时救助、城乡低保等社会救助政策的有效衔接，做好落实应急救助后，因灾致贫生活困难群众的基本生活保障工作；监督指导慈善总会组织规范开展救灾募捐活动；配合行业主管部门支持引导社会组织和社会力量参与抗震救灾工作；协助做好遇难人员遗体处置及相关善后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发展和改革局：负责安排重大抗震救灾基建项目，协调落实项目建设资金；负责安排重大抗震救灾科研项目；负责灾区各类生产生活物资的价格监督检查与应急管理；负责组织协调救援装备、防护和消杀用品、医药和食品等生产供应工作；负责协助分析灾害情况和制定统计标准。</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住房和城乡建设局：负责组织开展城市基础设施建设工程及供热等城市生命线工程的损失统计评估、安全鉴定、修复及重建工作；协调指导供水、排水等工程的损失统计评估、安全鉴定、修复及重建工作；组织开展房屋安全鉴定与评估工作；参与制定灾后恢复重建计划，组织和指导有关抗震救灾工程建筑规划、设计与建设；负责指导建筑工程的抗震设防、灾后重建、移民搬迁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县城市管理综合执法局：负责做好因灾造成铁路桥等设施损失统计评估工作；组织对因灾损毁铁路桥等设施的抢修和恢复工作。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卫生健康局：负责设立现场救护场所，组织医疗救护队伍救治和转送伤病员，协调县外有关医疗机构及时接收危重伤员；负责指挥和协调县内外医疗救护队伍及时开展伤病员救治工作；组织开展灾区防病消杀，做好传染病疫情预防控制，严防重大传染病疫情的发生和蔓延。</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交通运输局：负责做好救灾工作期间公路和水路交通基础设施的维护和管理，组织因灾损毁公路的抢修和恢复工作；组织协调交通工具，配合做好受灾人员转移疏散、救灾物资紧急调运工作；协助做好水域救援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市场监督管理局：负责灾区食品药品安全监管，做好灾区食品药品安全事故（事件）应急处置和调查处理；负责紧急采购生活类救灾物资和社会捐赠物资的质量监督；加强监督检查和打击囤积居奇、欺行霸市、强买强卖等扰乱市场秩序和违法违规交易行为，维护正常市场流通秩序。</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农业农村局：负责做好因灾造成农业损失的评估工作；负责农作物病虫害、动物疫情的监测预警与应急处置；做好种子等农用物资储备，指导做好灾后农业生产自救和设施农业恢复重建工作；结合农业实际提供防灾减灾对策与建议。</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县文化广电和旅游局：负责做好因灾造成文化旅游市场、县级以上不可移动文物损失统计；负责指导文化旅游市场灾后恢复，监督受损县级不可移动文物修缮工作。</w:t>
      </w:r>
    </w:p>
    <w:p>
      <w:pPr>
        <w:pStyle w:val="12"/>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县林业和草原局：负责做好林业草原资源损失统计评估工作，组织开展灾后森林草原生态修复治理工作；组织指导国有林场林区和草原开展宣传教育、监测预警、监督检查等防火工作。</w:t>
      </w:r>
    </w:p>
    <w:p>
      <w:pPr>
        <w:pStyle w:val="12"/>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县水务局：负责组织协调全县水利设施排险除险工作，对河流、水库等工程设施实施调度；负责地震造成的堰塞湖应急处置技术支撑工作；负责做好受灾地区生活、生产经营和生态环境用水的统筹保障；组织统计上报全县水利基础设施因灾毁损情况；积极争取省、市水利等上级部门支持，做好抗震救灾水利基础设施恢复重建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县气象局：负责组织开展灾区气象监测，加强对气象灾害及次生、衍生灾害的监测预警，及时发布重大气象预警信息，为灾区地震应急处置工作做好气象保障服务。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教体局：组织管理在校师生的应急疏散、安置、心理咨询；会同县住房和城乡建设局、县自然资源局等部门做好地震灾区学校建筑物隐患排查、登记、治理工作，汇总、上报本行业灾情和救灾需求；负责做好因灾造成公共体育设施损失统计评估及恢复重建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lang w:val="en-US" w:eastAsia="zh-CN"/>
        </w:rPr>
      </w:pPr>
      <w:r>
        <w:rPr>
          <w:rFonts w:hint="eastAsia" w:ascii="仿宋_GB2312" w:hAnsi="仿宋_GB2312" w:eastAsia="仿宋_GB2312" w:cs="仿宋_GB2312"/>
          <w:b w:val="0"/>
          <w:bCs w:val="0"/>
          <w:sz w:val="32"/>
          <w:szCs w:val="32"/>
          <w:lang w:val="en-US" w:eastAsia="zh-CN"/>
        </w:rPr>
        <w:t>双鸭山市集贤生态环境局：负责对灾区空气、水质、土壤以及饮用水水源水质等的污染监测和防控工作；加强环境监测、控制及隐患排查，消除减轻污染危害。</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自然资源局：负责组织开展地震引发的地质灾害防治工作；会同县住房和城乡建设局、县交通运输局、县气象局等部门加强对地质灾害险情的动态监测，及时通报地质灾害隐患发展趋势，提供事发地地理信息和震后地质灾害防治技术支持，根据需要及时组织开展过渡性安置点的规划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融媒体中心：负责组织利用广播电视进行抗震救灾宣传，制作预防地震灾害公益广告及时播报有关地震灾害应急处置的命令、通知、公告等紧急要件。积极协助配合宣传部门开展地震灾害预防、灾害自救等方面知识宣传教育活动；协同发布地震灾害预警信息。</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中国移动集贤县分公司、中国电信集贤县分公司、中国联通集贤县分公司、中国铁塔集贤办事处：负责迅速了解地震灾区的通信状况，调集各自通信资源，抢修通信设施设备，保障各级抗震救灾应急指挥部指挥系统和重要部门的通信畅通；对处在灾区易于发生次生灾害而影响通信设施的情况，采取紧急处置措施，确保通信畅通。</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国网</w:t>
      </w:r>
      <w:r>
        <w:rPr>
          <w:rFonts w:hint="eastAsia" w:ascii="仿宋_GB2312" w:hAnsi="仿宋_GB2312" w:eastAsia="仿宋_GB2312" w:cs="仿宋_GB2312"/>
          <w:b w:val="0"/>
          <w:bCs w:val="0"/>
          <w:sz w:val="32"/>
          <w:szCs w:val="32"/>
          <w:lang w:eastAsia="zh-CN"/>
        </w:rPr>
        <w:t>集贤县</w:t>
      </w:r>
      <w:r>
        <w:rPr>
          <w:rFonts w:hint="eastAsia" w:ascii="仿宋_GB2312" w:hAnsi="仿宋_GB2312" w:eastAsia="仿宋_GB2312" w:cs="仿宋_GB2312"/>
          <w:b w:val="0"/>
          <w:bCs w:val="0"/>
          <w:sz w:val="32"/>
          <w:szCs w:val="32"/>
        </w:rPr>
        <w:t>供电公司</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负责抢修因灾损毁的电力设施；保证受灾地区电力供应；负责灾后电力设施的恢复重建工作。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县消防救援大队：负责组织国家综合性消防救援队伍参加地震灾害抢险救援、受灾群众转移安置等任务。</w:t>
      </w:r>
    </w:p>
    <w:p>
      <w:pPr>
        <w:pStyle w:val="12"/>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县红十字会：负责组织管理与调配红十字会员和志愿工作者参加因灾伤病员的现场应急救护等工作；做好救灾捐赠款物的接收工作，参与灾后恢复重建工作。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根据工作需要，可增加有关部门和单位负责同志参加。以上成员单位设联络员1名，负责沟通联络工作</w:t>
      </w:r>
      <w:r>
        <w:rPr>
          <w:rFonts w:hint="eastAsia" w:ascii="Times New Roman" w:hAnsi="Times New Roman"/>
          <w:b w:val="0"/>
          <w:bCs w:val="0"/>
          <w:sz w:val="32"/>
          <w:szCs w:val="32"/>
          <w:lang w:val="en-US" w:eastAsia="zh-CN"/>
        </w:rPr>
        <w:t>。</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0" w:name="_Toc26397"/>
      <w:r>
        <w:rPr>
          <w:rFonts w:hint="eastAsia" w:ascii="Times New Roman" w:hAnsi="Times New Roman"/>
          <w:b w:val="0"/>
          <w:bCs/>
          <w:sz w:val="32"/>
          <w:szCs w:val="32"/>
          <w:lang w:val="en-US" w:eastAsia="zh-CN"/>
        </w:rPr>
        <w:t>现场指挥机构</w:t>
      </w:r>
      <w:bookmarkEnd w:id="30"/>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现场指挥部组成及主要职责</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根据需要，在地震灾区成立县抗震救灾现场指挥部（以下简称现场指挥部），现场总指挥原则上由县委常委、常务副县长或赴现场的县领导担任，成员由县应急管理局、县发展和改革局、县公安局、县卫生健康局、双鸭山市集贤生态环境局、县消防救援大队等赴现场的县指挥部成员单位负责同志以及受灾乡镇政府负责同志等组成。负责全面指挥调度、统筹协调和保障支援现场抢险救援工作；研究决定现场抢险救援中的重大问题；及时报告事态发展和处置情况；组织召开新闻发布会等。</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现场指挥部各工作组组成及主要职责</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现场指挥部通常下设12个工作组，并根据现场工作需要科学增减、合并工作组和调整成员单位。</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综合协调组：由县应急管理局牵头，县委宣传部、县发展和改革局、县交通运输局、县卫生健康局和受灾乡镇政府等组成。负责全县抗震救灾综合协调工作；协助现场总指挥组织实施抗震救灾行动；负责收集汇总震情、灾情、社（舆）情和抗震救灾工作进展情况；承担现场指挥部会议、活动和文电等工作；负责现场指挥部后勤保障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2）技术保障组：由县自然资源局牵头，双鸭山市集贤生态环境局、县住房和城乡建设局、县水务局、县气象局等组成。负责地震监测和趋势研判工作；开展灾区气象监测，做好灾区气象预警；开展灾区空气、水质和土壤等监测和相关防控工作；对地震引发的地质灾害、水灾等各类次生衍生灾害开展应急排查、应急监测、排危除险等应急处置工作；组织、协调专家队伍提供必要的技术支撑；负责有关监测研判工作队伍的协调工作；完成现场指挥部 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3）抢险救援组：由县人武部牵头，县武警中队、县公安局、县卫生健康局、县应急管理局、县消防救援大队、县红十字会和受灾乡镇政府等组成。负责制定抢险救援行动计划，组织协调应急救援力量开展人员搜救和灾害抢险；指导灾区组织开展自救互救工作，负责统筹社会应急救援力量和志愿者队伍的动员、组织、派遣和管理工作；负责县内外、国（境）内外有关抢险救援队伍的协调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4）群众安置组：由受灾乡镇政府牵头，县发展和改革局、县教体局、县民政局、县住房和城乡建设局、县文化广电和旅游局、县应急管理局等组成。负责组织指导受灾群众紧急转移安置和基本生活保障；指导各地启用应急避难场所和设置临时避难场所；指导开展房屋建筑震后安全性应急评估；负责受灾群众临时安置、生活物资供应和生活污水垃圾处理等；负责遇难人员及孤、残人员的善后事宜；组织金融保险机构做好保险理赔工作；组织专业社会组织和志愿者有序参与群众安置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5）医疗防疫组：由县卫生健康局牵头，县发展和改革局、县市场监督管理局、县人民医院等组成。负责组织调配医疗应急救援队伍和医疗器械、药品等物资及装备；组织开展伤员的现场救治及转送工作；开展食品和饮用水卫生监督检查、监测和污染防控；开展传染病、卫生消杀工作；做好灾区医药用品等耗材保障工作；负责县内外医疗救援队伍的协调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6）交通运输组：由县交通运输局牵头，县公安局和受灾乡镇政府等组成。负责做好交通运输保障，实施必要的交通管制，维护交通秩序；抢修维护交通运输设施，组织协调运力，配合做好救援队伍、受灾人员、救灾物资装备以及基本生活物资的紧急运输工作；负责县内外交通抢险运输队伍的协调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7）生活保障组：由县发展和改革局牵头，县住房和城乡建设局、县水务局、县财政局、县文化广电和旅游局、国网集贤县供电公司和受灾乡镇政府等组成。负责组织抢修通信、供电、供水、防洪、广播电视等设施设备；组织力量开展水、电和成品油等要素的应急供应工作；指导开展市政公用基础设施震后安全性应急评估和排危除险工作；负责县内外有关生活物资保供以及基础设施抢修队伍的协调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8）治安维稳组：由县公安局牵头，县司法局和受灾乡镇政府等组成。负责灾区社会治安维稳工作，依法从严打击各类违法犯罪活动，预防和处置群体性事件；加强灾区重要场所的安保工作，必要时组织重要目标临时转移、搬迁；做好涉灾矛盾纠纷化解和法律服务工作；负责灾区治安维稳各类队伍的协调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9）救灾物资组：由县应急管理局牵头，县发展和改革局、县民政局、县财政局、县市场监管局、县应急管理局、县红十字会和受灾乡镇政府等组成。负责组织、调集、征用抢险救援应急物资，保障灾区物资供应；组织开展受灾救济救助工作；依法从严加强灾区市场交易监督管理，维护灾区市场经营秩序；向社会发布救灾物资需求信息及接受救灾捐赠公告，组织开展救灾捐赠活动，建立救灾捐赠协调机制，组织、指导、监督全县救灾款物的管理、分配和使用；协助开展应急救援力量后勤保障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仿宋_GB2312" w:hAnsi="仿宋_GB2312" w:eastAsia="仿宋_GB2312" w:cs="仿宋_GB2312"/>
          <w:b w:val="0"/>
          <w:bCs/>
          <w:sz w:val="32"/>
          <w:szCs w:val="32"/>
          <w:lang w:val="en-US" w:eastAsia="zh-CN"/>
        </w:rPr>
        <w:t>（10）社会管理服务组：由县民政局牵头，受灾乡镇政府等组成。负责整合群团组织力量，做好社会组织和志愿者队伍的组织、派遣和管理工作，组织引导社会组织和志愿者力量有序配合抢险救援、群众转移安置、物资运输配发和恢复重建等相关工作；完成现</w:t>
      </w:r>
      <w:r>
        <w:rPr>
          <w:rFonts w:hint="eastAsia" w:ascii="Times New Roman" w:hAnsi="Times New Roman"/>
          <w:b w:val="0"/>
          <w:bCs w:val="0"/>
          <w:sz w:val="32"/>
          <w:szCs w:val="32"/>
          <w:lang w:val="en-US" w:eastAsia="zh-CN"/>
        </w:rPr>
        <w:t>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11）宣传报道组：由县委宣传部牵头，县政府办（县外事办）、县应急管理局、县自然资源局和受灾乡镇政府等组成。负责抗震救灾信息的新闻发布和宣传报道工作，组织召开新闻发布会；开展舆情监测、研判和引导工作；组织开展科普宣传和安全提示工作；加强灾区国（境）内外记者的管理服务工作；完成现场指挥部交办的其他任务。</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12）灾损评估组：由受灾乡镇政府牵头，县应急管理局、县自然资源局、双鸭山市集贤生态环境局、县住房和城乡建设局、县交通运输局、县水务局、县农业农村局和受灾乡镇政府等组成。负责开展灾情调查和跟踪评估；对受灾情况进行抽样调查和核实，评估地震灾害损失；对地震应急处置工作进行调查总结；完成现场指挥部交办的其他任务。</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1" w:name="_Toc338"/>
      <w:r>
        <w:rPr>
          <w:rFonts w:hint="eastAsia" w:ascii="Times New Roman" w:hAnsi="Times New Roman"/>
          <w:b w:val="0"/>
          <w:bCs/>
          <w:sz w:val="32"/>
          <w:szCs w:val="32"/>
          <w:lang w:val="en-US" w:eastAsia="zh-CN"/>
        </w:rPr>
        <w:t>专家组</w:t>
      </w:r>
      <w:bookmarkEnd w:id="31"/>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县指挥部依托黑龙江省、双鸭山市应急专家库组建专家组，对全县抗震救灾工作重大决策和重要规划提供政策咨询和建议，为地震灾害的灾情评估、应急救助和灾后救助提出咨询意见。</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2" w:name="_Toc21864"/>
      <w:r>
        <w:rPr>
          <w:rFonts w:hint="eastAsia" w:ascii="Times New Roman" w:hAnsi="Times New Roman"/>
          <w:b w:val="0"/>
          <w:bCs/>
          <w:sz w:val="32"/>
          <w:szCs w:val="32"/>
          <w:lang w:val="en-US" w:eastAsia="zh-CN"/>
        </w:rPr>
        <w:t>地震灾害分级及响应机制</w:t>
      </w:r>
      <w:bookmarkEnd w:id="32"/>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3" w:name="_Toc8689"/>
      <w:r>
        <w:rPr>
          <w:rFonts w:hint="eastAsia" w:ascii="Times New Roman" w:hAnsi="Times New Roman"/>
          <w:b w:val="0"/>
          <w:bCs/>
          <w:sz w:val="32"/>
          <w:szCs w:val="32"/>
          <w:lang w:val="en-US" w:eastAsia="zh-CN"/>
        </w:rPr>
        <w:t>地震灾害分级</w:t>
      </w:r>
      <w:bookmarkEnd w:id="33"/>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地震灾害分为特别重大、重大、较大、一般四级。</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（1）特别重大地震灾害是指造成300人以上死亡（含失踪），或者直接经济损失占上年国内生产总值1%以上的地震灾害。</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我县发生6.5级以上地震或县城主城区发生6.0级以上地震，暂按特别重大地震灾害处置。</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（2）重大地震灾害是指造成50人以上、300人以下死亡（含失踪），或者造成严重经济损失的地震灾害。</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我县发生5.5级以上、6.5级以下地震或县城主城区发生5.0级以上、6.0级以下地震，暂按重大地震灾害处置。</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（3）较大地震灾害是指造成10人以上、50人以下死亡（含失踪），或者造成较重经济损失的地震灾害。</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我县发生4.5级以上、5.5级以下地震或县城主城区发生4.0级以上、5.0级以下地震，暂按较大地震灾害处置。</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（4）一般地震灾害是指造成10人以下死亡（含失踪），或者造成一定经济损失的地震灾害。</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我县发生4.0级以上4.5级以下地震或县城主城区发生3.5级以上4.0级以下地震，暂按一般地震灾害处置。</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本预案所称“以上”包括本数，“以下”不包括本数。</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4" w:name="_Toc3882"/>
      <w:r>
        <w:rPr>
          <w:rFonts w:hint="eastAsia" w:ascii="Times New Roman" w:hAnsi="Times New Roman"/>
          <w:b w:val="0"/>
          <w:bCs/>
          <w:sz w:val="32"/>
          <w:szCs w:val="32"/>
          <w:lang w:val="en-US" w:eastAsia="zh-CN"/>
        </w:rPr>
        <w:t>分级响应</w:t>
      </w:r>
      <w:bookmarkEnd w:id="34"/>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根据地震灾害分级情况，将地震灾害应急响应分为Ⅰ级、Ⅱ级、Ⅲ级、Ⅳ级。确定应急响应级别，须首先报请双鸭山市地震局同意，再报请县政府同意后确定。</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应对特别重大地震灾害，启动Ⅰ级响应。县指挥部在国务院、省、市抗震救灾指挥部统一领导下，组织、指挥和协调全县抗震救灾工作。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应对重大地震灾害，启动Ⅱ级响应。县指挥部在省、市抗震救灾指挥部的领导下，组织、指挥和协调全县抗震救灾工作。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应对较大地震灾害，启动Ⅲ级响应。县指挥部在市抗震救灾指挥部的指导下，由县指挥部协调灾区地震应急工作。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应对一般地震灾害，启动Ⅳ级响应。由县指挥部领导、指挥和协调灾区地震应急工作。</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对震中在县主城区或其他特殊地区的地震，根据需要提高一级响应级别。</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地震应急响应启动后，可视灾情及其发展情况对响应级别及时进行相应调整，避免响应不足或响应过度。</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5" w:name="_Toc1907"/>
      <w:r>
        <w:rPr>
          <w:rFonts w:hint="eastAsia" w:ascii="Times New Roman" w:hAnsi="Times New Roman"/>
          <w:b w:val="0"/>
          <w:bCs/>
          <w:sz w:val="32"/>
          <w:szCs w:val="32"/>
          <w:lang w:val="en-US" w:eastAsia="zh-CN"/>
        </w:rPr>
        <w:t>监测预警</w:t>
      </w:r>
      <w:bookmarkEnd w:id="35"/>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6" w:name="_Toc30056"/>
      <w:r>
        <w:rPr>
          <w:rFonts w:hint="eastAsia" w:ascii="Times New Roman" w:hAnsi="Times New Roman"/>
          <w:b w:val="0"/>
          <w:bCs/>
          <w:sz w:val="32"/>
          <w:szCs w:val="32"/>
          <w:lang w:val="en-US" w:eastAsia="zh-CN"/>
        </w:rPr>
        <w:t>地震监测</w:t>
      </w:r>
      <w:bookmarkEnd w:id="36"/>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应急管理局负责根据上级地震部门地震观测数据的分析结论，及时核实群测群防异常情况；加强与省、市地震部门及临近县区应急部门的信息沟通和联系，在上级地震部门的指导下开展地震趋势会商、震情跟踪监测、地震趋势分析和地震速报等工作，及时对可能与地震有关的异常现象进行综合分析研判，提出有关建议意见。</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7" w:name="_Toc8975"/>
      <w:r>
        <w:rPr>
          <w:rFonts w:hint="eastAsia" w:ascii="Times New Roman" w:hAnsi="Times New Roman"/>
          <w:b w:val="0"/>
          <w:bCs/>
          <w:sz w:val="32"/>
          <w:szCs w:val="32"/>
          <w:lang w:val="en-US" w:eastAsia="zh-CN"/>
        </w:rPr>
        <w:t>地震预警</w:t>
      </w:r>
      <w:bookmarkEnd w:id="37"/>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建立健全地震预警信息发布平台，在省、市发布临震预报信息后，及时会同有关单位通过广播、电视、手机、网络等平台，快速、准确推送地震预警信息，及时组织预报区加强应急防范措施。</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8" w:name="_Toc32697"/>
      <w:r>
        <w:rPr>
          <w:rFonts w:hint="eastAsia" w:ascii="Times New Roman" w:hAnsi="Times New Roman"/>
          <w:b w:val="0"/>
          <w:bCs/>
          <w:sz w:val="32"/>
          <w:szCs w:val="32"/>
          <w:lang w:val="en-US" w:eastAsia="zh-CN"/>
        </w:rPr>
        <w:t>预警行动</w:t>
      </w:r>
      <w:bookmarkEnd w:id="38"/>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根据国务院、省、市人民政府发布可能对我县造成影响的地震预报信息后，立即进入临震应急期，主要应急措施为：加强震情监视，及时通报、报告震情变化；向社会发布人民政府应对措施和公众防范措施；对交通、水务、电力、通信、气象、供水、排水等基础设施和堤坝、易燃易爆和有毒物质的生产贮存场所等采取紧急防护措施；排查在地震作用下易诱发地质灾害的危险区，并采取有效预防措施；督促检查各地各单位地震应急准备工作；维护社会秩序；加强地震应急知识和避险常识宣传；疏散群众等。</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39" w:name="_Toc5194"/>
      <w:r>
        <w:rPr>
          <w:rFonts w:hint="eastAsia" w:ascii="Times New Roman" w:hAnsi="Times New Roman"/>
          <w:b w:val="0"/>
          <w:bCs/>
          <w:sz w:val="32"/>
          <w:szCs w:val="32"/>
          <w:lang w:val="en-US" w:eastAsia="zh-CN"/>
        </w:rPr>
        <w:t>灾情报告</w:t>
      </w:r>
      <w:bookmarkEnd w:id="39"/>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0" w:name="_Toc1176"/>
      <w:r>
        <w:rPr>
          <w:rFonts w:hint="eastAsia" w:ascii="Times New Roman" w:hAnsi="Times New Roman"/>
          <w:b w:val="0"/>
          <w:bCs/>
          <w:sz w:val="32"/>
          <w:szCs w:val="32"/>
          <w:lang w:val="en-US" w:eastAsia="zh-CN"/>
        </w:rPr>
        <w:t>震情速报</w:t>
      </w:r>
      <w:bookmarkEnd w:id="40"/>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rPr>
        <w:t>县内发生</w:t>
      </w:r>
      <w:r>
        <w:rPr>
          <w:rFonts w:hint="eastAsia" w:ascii="仿宋_GB2312" w:hAnsi="微软雅黑" w:eastAsia="仿宋_GB2312" w:cs="仿宋_GB2312"/>
          <w:i w:val="0"/>
          <w:iCs w:val="0"/>
          <w:caps w:val="0"/>
          <w:color w:val="000000"/>
          <w:spacing w:val="0"/>
          <w:sz w:val="31"/>
          <w:szCs w:val="31"/>
        </w:rPr>
        <w:t>3.0级及以上地震，县应急管理局要根据省、市地震局确定地震发生时间、地点、震级、震源深度等速报参数，迅速开展调度和分析研判，及时将震情快速上报县政府，同时通报有关部门，做好续报有关工作。因客观原因一时难以准确掌握信息的，可先报告基本情况，再续报详细情况。信息报告中涉及保密内容的，按照保密要求执行。</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1" w:name="_Toc24733"/>
      <w:r>
        <w:rPr>
          <w:rFonts w:hint="eastAsia" w:ascii="Times New Roman" w:hAnsi="Times New Roman"/>
          <w:b w:val="0"/>
          <w:bCs/>
          <w:sz w:val="32"/>
          <w:szCs w:val="32"/>
          <w:lang w:val="en-US" w:eastAsia="zh-CN"/>
        </w:rPr>
        <w:t>信息报送</w:t>
      </w:r>
      <w:bookmarkEnd w:id="41"/>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cs="仿宋_GB2312"/>
          <w:i w:val="0"/>
          <w:iCs w:val="0"/>
          <w:caps w:val="0"/>
          <w:color w:val="000000"/>
          <w:spacing w:val="0"/>
          <w:sz w:val="31"/>
          <w:szCs w:val="31"/>
          <w:lang w:val="en-US" w:eastAsia="zh-CN"/>
        </w:rPr>
        <w:t>地震发生后，受灾乡镇政府</w:t>
      </w:r>
      <w:r>
        <w:rPr>
          <w:rFonts w:hint="eastAsia" w:ascii="仿宋_GB2312" w:hAnsi="微软雅黑" w:eastAsia="仿宋_GB2312" w:cs="仿宋_GB2312"/>
          <w:i w:val="0"/>
          <w:iCs w:val="0"/>
          <w:caps w:val="0"/>
          <w:color w:val="000000"/>
          <w:spacing w:val="0"/>
          <w:sz w:val="31"/>
          <w:szCs w:val="31"/>
        </w:rPr>
        <w:t>按照《黑龙江省人民政府办公厅关于印发黑龙江省突发事件信息报告工作规范的通知》（黑政办发〔2012〕48号）规定，做好灾情信息收集报送工作。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发生特别重大、重大地震灾害后，地震灾区或受影响区域乡镇政府必须在地震发生后10分钟内向县政府</w:t>
      </w:r>
      <w:r>
        <w:rPr>
          <w:rFonts w:hint="eastAsia" w:ascii="仿宋_GB2312" w:hAnsi="微软雅黑" w:cs="仿宋_GB2312"/>
          <w:i w:val="0"/>
          <w:iCs w:val="0"/>
          <w:caps w:val="0"/>
          <w:color w:val="000000"/>
          <w:spacing w:val="0"/>
          <w:sz w:val="31"/>
          <w:szCs w:val="31"/>
          <w:lang w:val="en-US" w:eastAsia="zh-CN"/>
        </w:rPr>
        <w:t>总值班室</w:t>
      </w:r>
      <w:r>
        <w:rPr>
          <w:rFonts w:hint="eastAsia" w:ascii="仿宋_GB2312" w:hAnsi="微软雅黑" w:eastAsia="仿宋_GB2312" w:cs="仿宋_GB2312"/>
          <w:i w:val="0"/>
          <w:iCs w:val="0"/>
          <w:caps w:val="0"/>
          <w:color w:val="000000"/>
          <w:spacing w:val="0"/>
          <w:sz w:val="31"/>
          <w:szCs w:val="31"/>
        </w:rPr>
        <w:t>电话报告，30分钟内书面报告。同时上报县</w:t>
      </w:r>
      <w:r>
        <w:rPr>
          <w:rFonts w:hint="eastAsia" w:ascii="仿宋_GB2312" w:hAnsi="微软雅黑" w:cs="仿宋_GB2312"/>
          <w:i w:val="0"/>
          <w:iCs w:val="0"/>
          <w:caps w:val="0"/>
          <w:color w:val="000000"/>
          <w:spacing w:val="0"/>
          <w:sz w:val="31"/>
          <w:szCs w:val="31"/>
          <w:lang w:val="en-US" w:eastAsia="zh-CN"/>
        </w:rPr>
        <w:t>抗震救灾指挥部办公室</w:t>
      </w:r>
      <w:r>
        <w:rPr>
          <w:rFonts w:hint="eastAsia" w:ascii="仿宋_GB2312" w:hAnsi="微软雅黑" w:eastAsia="仿宋_GB2312" w:cs="仿宋_GB2312"/>
          <w:i w:val="0"/>
          <w:iCs w:val="0"/>
          <w:caps w:val="0"/>
          <w:color w:val="000000"/>
          <w:spacing w:val="0"/>
          <w:sz w:val="31"/>
          <w:szCs w:val="31"/>
        </w:rPr>
        <w:t>。</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发生较大地震灾害后，地震灾区或受影响区域乡镇政府必须在地震发生后1小时内向县政府和县</w:t>
      </w:r>
      <w:r>
        <w:rPr>
          <w:rFonts w:hint="eastAsia" w:ascii="仿宋_GB2312" w:hAnsi="微软雅黑" w:cs="仿宋_GB2312"/>
          <w:i w:val="0"/>
          <w:iCs w:val="0"/>
          <w:caps w:val="0"/>
          <w:color w:val="000000"/>
          <w:spacing w:val="0"/>
          <w:sz w:val="31"/>
          <w:szCs w:val="31"/>
          <w:lang w:val="en-US" w:eastAsia="zh-CN"/>
        </w:rPr>
        <w:t>抗震救灾指挥部办公室</w:t>
      </w:r>
      <w:r>
        <w:rPr>
          <w:rFonts w:hint="eastAsia" w:ascii="仿宋_GB2312" w:hAnsi="微软雅黑" w:eastAsia="仿宋_GB2312" w:cs="仿宋_GB2312"/>
          <w:i w:val="0"/>
          <w:iCs w:val="0"/>
          <w:caps w:val="0"/>
          <w:color w:val="000000"/>
          <w:spacing w:val="0"/>
          <w:sz w:val="31"/>
          <w:szCs w:val="31"/>
        </w:rPr>
        <w:t>报告。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发生一般地震灾害后，地震灾区或受影响区域乡镇政府及时向县政府和县抗震救灾指挥部办公室报告。</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地震灾害涉及敏感人群、敏感时间、敏感地点，或者其事发原因比较敏感的，信息报告不受级别限制，报告方式和时限按照较大以上级别信息报告要求执行。</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2" w:name="_Toc24823"/>
      <w:r>
        <w:rPr>
          <w:rFonts w:hint="eastAsia" w:ascii="Times New Roman" w:hAnsi="Times New Roman"/>
          <w:b w:val="0"/>
          <w:bCs/>
          <w:sz w:val="32"/>
          <w:szCs w:val="32"/>
          <w:lang w:val="en-US" w:eastAsia="zh-CN"/>
        </w:rPr>
        <w:t>信息发布</w:t>
      </w:r>
      <w:bookmarkEnd w:id="42"/>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按照分级响应的原则，</w:t>
      </w:r>
      <w:r>
        <w:rPr>
          <w:rFonts w:hint="eastAsia" w:ascii="仿宋_GB2312" w:hAnsi="微软雅黑" w:cs="仿宋_GB2312"/>
          <w:i w:val="0"/>
          <w:iCs w:val="0"/>
          <w:caps w:val="0"/>
          <w:color w:val="000000"/>
          <w:spacing w:val="0"/>
          <w:sz w:val="31"/>
          <w:szCs w:val="31"/>
          <w:lang w:val="en-US" w:eastAsia="zh-CN"/>
        </w:rPr>
        <w:t>由县</w:t>
      </w:r>
      <w:r>
        <w:rPr>
          <w:rFonts w:hint="eastAsia" w:ascii="仿宋_GB2312" w:hAnsi="微软雅黑" w:eastAsia="仿宋_GB2312" w:cs="仿宋_GB2312"/>
          <w:i w:val="0"/>
          <w:iCs w:val="0"/>
          <w:caps w:val="0"/>
          <w:color w:val="000000"/>
          <w:spacing w:val="0"/>
          <w:sz w:val="31"/>
          <w:szCs w:val="31"/>
        </w:rPr>
        <w:t>政府</w:t>
      </w:r>
      <w:r>
        <w:rPr>
          <w:rFonts w:hint="eastAsia" w:ascii="仿宋_GB2312" w:hAnsi="微软雅黑" w:cs="仿宋_GB2312"/>
          <w:i w:val="0"/>
          <w:iCs w:val="0"/>
          <w:caps w:val="0"/>
          <w:color w:val="000000"/>
          <w:spacing w:val="0"/>
          <w:sz w:val="31"/>
          <w:szCs w:val="31"/>
          <w:lang w:eastAsia="zh-CN"/>
        </w:rPr>
        <w:t>统一负责</w:t>
      </w:r>
      <w:r>
        <w:rPr>
          <w:rFonts w:hint="eastAsia" w:ascii="仿宋_GB2312" w:hAnsi="微软雅黑" w:eastAsia="仿宋_GB2312" w:cs="仿宋_GB2312"/>
          <w:i w:val="0"/>
          <w:iCs w:val="0"/>
          <w:caps w:val="0"/>
          <w:color w:val="000000"/>
          <w:spacing w:val="0"/>
          <w:sz w:val="31"/>
          <w:szCs w:val="31"/>
        </w:rPr>
        <w:t>地震灾害信息发布工作，统一、准确、及时公布震情、灾情和抗震救灾等信息，回应社会关切。</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3" w:name="_Toc4382"/>
      <w:r>
        <w:rPr>
          <w:rFonts w:hint="eastAsia" w:ascii="Times New Roman" w:hAnsi="Times New Roman"/>
          <w:b w:val="0"/>
          <w:bCs/>
          <w:sz w:val="32"/>
          <w:szCs w:val="32"/>
          <w:lang w:val="en-US" w:eastAsia="zh-CN"/>
        </w:rPr>
        <w:t>应急处置</w:t>
      </w:r>
      <w:bookmarkEnd w:id="43"/>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4" w:name="_Toc25016"/>
      <w:r>
        <w:rPr>
          <w:rFonts w:hint="eastAsia" w:ascii="Times New Roman" w:hAnsi="Times New Roman"/>
          <w:b w:val="0"/>
          <w:bCs/>
          <w:sz w:val="32"/>
          <w:szCs w:val="32"/>
          <w:lang w:val="en-US" w:eastAsia="zh-CN"/>
        </w:rPr>
        <w:t>先期处置</w:t>
      </w:r>
      <w:bookmarkEnd w:id="44"/>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rPr>
        <w:t>地震灾害发生后，震区所在地抗震救灾指挥机构根据本级地震应急预案启动应急响应，立即开展先期处置，采取以下措施：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（1）依法实施交通管制，保证救援专用车辆优先通行，限制与救援无关的民用车辆、大型车辆等进入极重灾区；向</w:t>
      </w:r>
      <w:r>
        <w:rPr>
          <w:rFonts w:hint="eastAsia" w:ascii="仿宋_GB2312" w:hAnsi="微软雅黑" w:cs="仿宋_GB2312"/>
          <w:i w:val="0"/>
          <w:iCs w:val="0"/>
          <w:caps w:val="0"/>
          <w:color w:val="000000"/>
          <w:spacing w:val="0"/>
          <w:sz w:val="31"/>
          <w:szCs w:val="31"/>
          <w:lang w:eastAsia="zh-CN"/>
        </w:rPr>
        <w:t>县抗震救灾指挥部办公室</w:t>
      </w:r>
      <w:r>
        <w:rPr>
          <w:rFonts w:hint="eastAsia" w:ascii="仿宋_GB2312" w:hAnsi="微软雅黑" w:eastAsia="仿宋_GB2312" w:cs="仿宋_GB2312"/>
          <w:i w:val="0"/>
          <w:iCs w:val="0"/>
          <w:caps w:val="0"/>
          <w:color w:val="000000"/>
          <w:spacing w:val="0"/>
          <w:sz w:val="31"/>
          <w:szCs w:val="31"/>
        </w:rPr>
        <w:t>实时报告道路通行状况。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（2）发动当地干部群众和社会救援力量开展自救互救；派遣消防救援、医疗等专业抢险救灾队伍开展人员搜救和医疗救护。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（3）向</w:t>
      </w:r>
      <w:r>
        <w:rPr>
          <w:rFonts w:hint="eastAsia" w:ascii="仿宋_GB2312" w:hAnsi="微软雅黑" w:cs="仿宋_GB2312"/>
          <w:i w:val="0"/>
          <w:iCs w:val="0"/>
          <w:caps w:val="0"/>
          <w:color w:val="000000"/>
          <w:spacing w:val="0"/>
          <w:sz w:val="31"/>
          <w:szCs w:val="31"/>
          <w:lang w:eastAsia="zh-CN"/>
        </w:rPr>
        <w:t>县抗震救灾指挥部办公室</w:t>
      </w:r>
      <w:r>
        <w:rPr>
          <w:rFonts w:hint="eastAsia" w:ascii="仿宋_GB2312" w:hAnsi="微软雅黑" w:eastAsia="仿宋_GB2312" w:cs="仿宋_GB2312"/>
          <w:i w:val="0"/>
          <w:iCs w:val="0"/>
          <w:caps w:val="0"/>
          <w:color w:val="000000"/>
          <w:spacing w:val="0"/>
          <w:sz w:val="31"/>
          <w:szCs w:val="31"/>
        </w:rPr>
        <w:t>报告灾情和救灾需求；在通讯设施损坏或通信受阻情况下，迅速启动备用信道，采取应急措施，保证救灾通信畅通。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（4）紧急协调救灾帐篷、生活必需品等救灾物资和装备，开放应急避难场所，及时转移和安置受灾群众，保障受灾群众基本生活需要。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（5）周密考虑救援队伍和市、县抗震救灾指挥部现场指挥机构的条件保障，指导帮助救援人员准备营地等配套设施。</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（6）组织力量抢修通信、电力、交通、供水、供气、广播电视等基础设施；采取措施防范次生灾害。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（7）加强重要目标警戒和治安管理，预防和打击违法犯罪活动，维护社会稳定。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b w:val="0"/>
          <w:bCs w:val="0"/>
          <w:i w:val="0"/>
          <w:iCs w:val="0"/>
          <w:caps w:val="0"/>
          <w:color w:val="000000"/>
          <w:spacing w:val="0"/>
          <w:sz w:val="32"/>
          <w:szCs w:val="32"/>
        </w:rPr>
      </w:pPr>
      <w:r>
        <w:rPr>
          <w:rFonts w:hint="eastAsia" w:ascii="仿宋_GB2312" w:hAnsi="微软雅黑" w:eastAsia="仿宋_GB2312" w:cs="仿宋_GB2312"/>
          <w:i w:val="0"/>
          <w:iCs w:val="0"/>
          <w:caps w:val="0"/>
          <w:color w:val="000000"/>
          <w:spacing w:val="0"/>
          <w:sz w:val="31"/>
          <w:szCs w:val="31"/>
        </w:rPr>
        <w:t>（8）</w:t>
      </w:r>
      <w:r>
        <w:rPr>
          <w:rFonts w:hint="eastAsia" w:ascii="仿宋_GB2312" w:hAnsi="微软雅黑" w:eastAsia="仿宋_GB2312" w:cs="仿宋_GB2312"/>
          <w:b w:val="0"/>
          <w:bCs w:val="0"/>
          <w:i w:val="0"/>
          <w:iCs w:val="0"/>
          <w:caps w:val="0"/>
          <w:color w:val="000000"/>
          <w:spacing w:val="0"/>
          <w:sz w:val="32"/>
          <w:szCs w:val="32"/>
        </w:rPr>
        <w:t>加强信息报告，提出需要支援的应急措施及建议。</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val="0"/>
          <w:sz w:val="32"/>
          <w:szCs w:val="32"/>
          <w:lang w:val="en-US" w:eastAsia="zh-CN"/>
        </w:rPr>
      </w:pPr>
      <w:bookmarkStart w:id="45" w:name="_Toc11946"/>
      <w:r>
        <w:rPr>
          <w:rFonts w:hint="eastAsia" w:ascii="Times New Roman" w:hAnsi="Times New Roman"/>
          <w:b w:val="0"/>
          <w:bCs w:val="0"/>
          <w:sz w:val="32"/>
          <w:szCs w:val="32"/>
          <w:lang w:val="en-US" w:eastAsia="zh-CN"/>
        </w:rPr>
        <w:t>分级响应措施</w:t>
      </w:r>
      <w:bookmarkEnd w:id="45"/>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特别重大、重大地震灾害（Ⅰ级、Ⅱ级）响应</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32"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vertAlign w:val="baseline"/>
        </w:rPr>
        <w:t>县内发生特别重大、重大地震灾害后，在国务院抗震救灾指挥部和省、市抗震救灾指挥部的统一领导、指挥下，</w:t>
      </w:r>
      <w:r>
        <w:rPr>
          <w:rFonts w:hint="eastAsia" w:ascii="仿宋_GB2312" w:hAnsi="微软雅黑" w:cs="仿宋_GB2312"/>
          <w:b w:val="0"/>
          <w:bCs w:val="0"/>
          <w:i w:val="0"/>
          <w:iCs w:val="0"/>
          <w:caps w:val="0"/>
          <w:color w:val="000000"/>
          <w:spacing w:val="0"/>
          <w:sz w:val="32"/>
          <w:szCs w:val="32"/>
          <w:vertAlign w:val="baseline"/>
          <w:lang w:eastAsia="zh-CN"/>
        </w:rPr>
        <w:t>县指挥部</w:t>
      </w:r>
      <w:r>
        <w:rPr>
          <w:rFonts w:hint="eastAsia" w:ascii="仿宋_GB2312" w:hAnsi="微软雅黑" w:eastAsia="仿宋_GB2312" w:cs="仿宋_GB2312"/>
          <w:b w:val="0"/>
          <w:bCs w:val="0"/>
          <w:i w:val="0"/>
          <w:iCs w:val="0"/>
          <w:caps w:val="0"/>
          <w:color w:val="000000"/>
          <w:spacing w:val="0"/>
          <w:sz w:val="32"/>
          <w:szCs w:val="32"/>
          <w:vertAlign w:val="baseline"/>
        </w:rPr>
        <w:t>及成员单位要迅速采取合理应</w:t>
      </w:r>
      <w:r>
        <w:rPr>
          <w:rFonts w:hint="eastAsia" w:ascii="仿宋_GB2312" w:hAnsi="微软雅黑" w:eastAsia="仿宋_GB2312" w:cs="仿宋_GB2312"/>
          <w:i w:val="0"/>
          <w:iCs w:val="0"/>
          <w:caps w:val="0"/>
          <w:color w:val="000000"/>
          <w:spacing w:val="0"/>
          <w:sz w:val="31"/>
          <w:szCs w:val="31"/>
          <w:vertAlign w:val="baseline"/>
        </w:rPr>
        <w:t>急措施先行处置工作。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第一时间发布公告，宣布当地进入地震应急状态，并落实管控措施，同时提出需要支援的应急措施建议。宣布采取停工、停产、停业、停运、停学等社会面防范措施，加强管制，采取临时关闭、封闭、撤离人员等强制性措施。</w:t>
      </w:r>
      <w:r>
        <w:rPr>
          <w:rFonts w:hint="eastAsia" w:ascii="仿宋_GB2312" w:hAnsi="微软雅黑" w:cs="仿宋_GB2312"/>
          <w:i w:val="0"/>
          <w:iCs w:val="0"/>
          <w:caps w:val="0"/>
          <w:color w:val="000000"/>
          <w:spacing w:val="0"/>
          <w:sz w:val="31"/>
          <w:szCs w:val="31"/>
          <w:lang w:eastAsia="zh-CN"/>
        </w:rPr>
        <w:t>县指挥部</w:t>
      </w:r>
      <w:r>
        <w:rPr>
          <w:rFonts w:hint="eastAsia" w:ascii="仿宋_GB2312" w:hAnsi="微软雅黑" w:eastAsia="仿宋_GB2312" w:cs="仿宋_GB2312"/>
          <w:i w:val="0"/>
          <w:iCs w:val="0"/>
          <w:caps w:val="0"/>
          <w:color w:val="000000"/>
          <w:spacing w:val="0"/>
          <w:sz w:val="31"/>
          <w:szCs w:val="31"/>
        </w:rPr>
        <w:t>负责人按照职责靠前指挥，第一时间组织开展先期应急处置。各行业主管部门各司其职，及时实施调度，迅速排查本行业重大工程安全隐患，防范次生灾害，做好应急响应工作。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（2）科学指挥</w:t>
      </w:r>
      <w:r>
        <w:rPr>
          <w:rFonts w:hint="eastAsia" w:ascii="仿宋_GB2312" w:hAnsi="微软雅黑" w:cs="仿宋_GB2312"/>
          <w:i w:val="0"/>
          <w:iCs w:val="0"/>
          <w:caps w:val="0"/>
          <w:color w:val="000000"/>
          <w:spacing w:val="0"/>
          <w:sz w:val="31"/>
          <w:szCs w:val="31"/>
          <w:lang w:eastAsia="zh-CN"/>
        </w:rPr>
        <w:t>受灾乡镇政府</w:t>
      </w:r>
      <w:r>
        <w:rPr>
          <w:rFonts w:hint="eastAsia" w:ascii="仿宋_GB2312" w:hAnsi="微软雅黑" w:eastAsia="仿宋_GB2312" w:cs="仿宋_GB2312"/>
          <w:i w:val="0"/>
          <w:iCs w:val="0"/>
          <w:caps w:val="0"/>
          <w:color w:val="000000"/>
          <w:spacing w:val="0"/>
          <w:sz w:val="31"/>
          <w:szCs w:val="31"/>
        </w:rPr>
        <w:t>先行发动基层干部群众开展自救互救，开放应急避难场所，及时转移和安置受灾群众。</w:t>
      </w:r>
      <w:r>
        <w:rPr>
          <w:rFonts w:hint="eastAsia" w:ascii="仿宋_GB2312" w:hAnsi="微软雅黑" w:cs="仿宋_GB2312"/>
          <w:i w:val="0"/>
          <w:iCs w:val="0"/>
          <w:caps w:val="0"/>
          <w:color w:val="000000"/>
          <w:spacing w:val="0"/>
          <w:sz w:val="31"/>
          <w:szCs w:val="31"/>
          <w:lang w:eastAsia="zh-CN"/>
        </w:rPr>
        <w:t>县指挥部</w:t>
      </w:r>
      <w:r>
        <w:rPr>
          <w:rFonts w:hint="eastAsia" w:ascii="仿宋_GB2312" w:hAnsi="微软雅黑" w:eastAsia="仿宋_GB2312" w:cs="仿宋_GB2312"/>
          <w:i w:val="0"/>
          <w:iCs w:val="0"/>
          <w:caps w:val="0"/>
          <w:color w:val="000000"/>
          <w:spacing w:val="0"/>
          <w:sz w:val="31"/>
          <w:szCs w:val="31"/>
        </w:rPr>
        <w:t>立即派遣消防救援、地震灾害紧急救援、医疗卫生救援等各类专业抢险救援队伍，组织协调社会应急力量开展人员搜救和医疗救护，维护灾区社会秩序。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依法实施交通管制和交通信息共享，保证救援专用车辆优先通行，限制与救援无关的民用车辆、大型车辆等进入极重灾区，保证交通资源有序高效利用。在保证交通畅通的前提下，统一采取物流模式配置救灾物资，</w:t>
      </w:r>
      <w:r>
        <w:rPr>
          <w:rFonts w:hint="eastAsia" w:ascii="仿宋_GB2312" w:hAnsi="微软雅黑" w:cs="仿宋_GB2312"/>
          <w:i w:val="0"/>
          <w:iCs w:val="0"/>
          <w:caps w:val="0"/>
          <w:color w:val="000000"/>
          <w:spacing w:val="0"/>
          <w:sz w:val="31"/>
          <w:szCs w:val="31"/>
          <w:lang w:eastAsia="zh-CN"/>
        </w:rPr>
        <w:t>县指挥部</w:t>
      </w:r>
      <w:r>
        <w:rPr>
          <w:rFonts w:hint="eastAsia" w:ascii="仿宋_GB2312" w:hAnsi="微软雅黑" w:eastAsia="仿宋_GB2312" w:cs="仿宋_GB2312"/>
          <w:i w:val="0"/>
          <w:iCs w:val="0"/>
          <w:caps w:val="0"/>
          <w:color w:val="000000"/>
          <w:spacing w:val="0"/>
          <w:sz w:val="31"/>
          <w:szCs w:val="31"/>
        </w:rPr>
        <w:t>统一指挥物资调度和物流供给，</w:t>
      </w:r>
      <w:r>
        <w:rPr>
          <w:rFonts w:hint="eastAsia" w:ascii="仿宋_GB2312" w:hAnsi="微软雅黑" w:cs="仿宋_GB2312"/>
          <w:i w:val="0"/>
          <w:iCs w:val="0"/>
          <w:caps w:val="0"/>
          <w:color w:val="000000"/>
          <w:spacing w:val="0"/>
          <w:sz w:val="31"/>
          <w:szCs w:val="31"/>
          <w:lang w:eastAsia="zh-CN"/>
        </w:rPr>
        <w:t>县指挥部</w:t>
      </w:r>
      <w:r>
        <w:rPr>
          <w:rFonts w:hint="eastAsia" w:ascii="仿宋_GB2312" w:hAnsi="微软雅黑" w:eastAsia="仿宋_GB2312" w:cs="仿宋_GB2312"/>
          <w:i w:val="0"/>
          <w:iCs w:val="0"/>
          <w:caps w:val="0"/>
          <w:color w:val="000000"/>
          <w:spacing w:val="0"/>
          <w:sz w:val="31"/>
          <w:szCs w:val="31"/>
        </w:rPr>
        <w:t>统筹人数和乡镇需求，统一派送，</w:t>
      </w:r>
      <w:r>
        <w:rPr>
          <w:rFonts w:hint="eastAsia" w:ascii="仿宋_GB2312" w:hAnsi="微软雅黑" w:cs="仿宋_GB2312"/>
          <w:i w:val="0"/>
          <w:iCs w:val="0"/>
          <w:caps w:val="0"/>
          <w:color w:val="000000"/>
          <w:spacing w:val="0"/>
          <w:sz w:val="31"/>
          <w:szCs w:val="31"/>
          <w:lang w:val="en-US" w:eastAsia="zh-CN"/>
        </w:rPr>
        <w:t>乡镇政府</w:t>
      </w:r>
      <w:r>
        <w:rPr>
          <w:rFonts w:hint="eastAsia" w:ascii="仿宋_GB2312" w:hAnsi="微软雅黑" w:eastAsia="仿宋_GB2312" w:cs="仿宋_GB2312"/>
          <w:i w:val="0"/>
          <w:iCs w:val="0"/>
          <w:caps w:val="0"/>
          <w:color w:val="000000"/>
          <w:spacing w:val="0"/>
          <w:sz w:val="31"/>
          <w:szCs w:val="31"/>
        </w:rPr>
        <w:t>提出需求并组织分配安置。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（4）指挥调度通信资源，实施应急通讯与常规通讯并行，保证救灾通讯畅通。组织抢修通信、电力、交通、供水、广播电视等基础设施，保障抢险救援通讯、电力、用油以及救灾人员、物资运输畅通。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（5）组织开展伤病员和受灾群众医疗救治、卫生防疫、心理疏导工作，根据需要组织实施跨区域大范围转移救治伤员，恢复灾区医疗卫生服务能力和秩序。</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（6）组织开展房屋、校舍等建（构）筑物安全性鉴定和重大危险源、重要目标物、大型水库、重大关键基础设施隐患排查与监测预警，防范次生衍生灾害；对于已经受到破坏的，组织快速抢险救援。</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（7）派出地震现场监测与分析预报工作队伍，布设或恢复地震现场测震和前兆台站，密切监视震情发展，指导做好余震防范工作。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（8）协调加强重要目标警戒和治安管理，预防和打击各种违法犯罪活动，指导做好涉灾矛盾纠纷化解和法律服务工作，维护社会稳定。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（9）组织统一发布灾情和抗震救灾信息，指导做好抗震救灾宣传报道工作。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（10）执行国务院抗震救灾指挥部及省委、省政府，市委、市政府下达的其他任务。</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较大地震灾害（启动Ⅲ级）响应</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textAlignment w:val="baseline"/>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vertAlign w:val="baseline"/>
        </w:rPr>
        <w:t>发生较大地震灾害后，在</w:t>
      </w:r>
      <w:r>
        <w:rPr>
          <w:rFonts w:hint="eastAsia" w:ascii="仿宋_GB2312" w:hAnsi="微软雅黑" w:cs="仿宋_GB2312"/>
          <w:i w:val="0"/>
          <w:iCs w:val="0"/>
          <w:caps w:val="0"/>
          <w:color w:val="000000"/>
          <w:spacing w:val="0"/>
          <w:sz w:val="31"/>
          <w:szCs w:val="31"/>
          <w:vertAlign w:val="baseline"/>
          <w:lang w:val="en-US" w:eastAsia="zh-CN"/>
        </w:rPr>
        <w:t>双鸭山</w:t>
      </w:r>
      <w:r>
        <w:rPr>
          <w:rFonts w:hint="eastAsia" w:ascii="仿宋_GB2312" w:hAnsi="微软雅黑" w:eastAsia="仿宋_GB2312" w:cs="仿宋_GB2312"/>
          <w:i w:val="0"/>
          <w:iCs w:val="0"/>
          <w:caps w:val="0"/>
          <w:color w:val="000000"/>
          <w:spacing w:val="0"/>
          <w:sz w:val="31"/>
          <w:szCs w:val="31"/>
          <w:vertAlign w:val="baseline"/>
        </w:rPr>
        <w:t>市政府的领导下，在省、市应急管理部门和地震等有关部门的指导和支持下，由县政府负责灾区的地震应急工作，震后立即开展以下工作：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（1）及时向上级抗震救灾指挥机构报告灾情、险情以及事件进展及工作动态。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（2）依法实施交通管制，保证救援专用车辆优先通行，限制与救援无关的民用车辆、大型车辆等进入灾区；实时调度了解灾区道路、气象等状况。</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（3）发动当地干部群众开展自救互救；必要时，派遣消防救援等专业抢险救灾队伍开展人员搜救和医疗救护。</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（4）组织力量抢修通信、电力、交通、供水、广播电视等基础设施。在通讯设施损坏或通讯受阻情况下，迅速启动备用信道、采取应急措施，保证通讯畅通。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（5）紧急协调调运救灾帐篷、生活必需品等救灾物资和装备，开放应急避难场所，及时转移和安置受灾群众，保障受灾群众基本生活需要。</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（6）组织开展房屋、校舍等安全性鉴定和重要基础设施隐患排查，采取措施防范次生灾害。</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（7）加强重要目标警戒和治安管理，预防和打击违法犯罪活动，维护社会稳定。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（8）做好抗震救灾信息报告和宣传报道工作，正确引导社会舆论。</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（9）执行上级抗震救灾指挥机构下达的任务，视情向上级抗震救灾指挥机构提出支援请求和建议。</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一般地震灾害（启动Ⅳ级）响应</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发生一般地震灾害后，震区所在</w:t>
      </w:r>
      <w:r>
        <w:rPr>
          <w:rFonts w:hint="eastAsia" w:ascii="仿宋_GB2312" w:hAnsi="微软雅黑" w:cs="仿宋_GB2312"/>
          <w:i w:val="0"/>
          <w:iCs w:val="0"/>
          <w:caps w:val="0"/>
          <w:color w:val="000000"/>
          <w:spacing w:val="0"/>
          <w:sz w:val="31"/>
          <w:szCs w:val="31"/>
          <w:lang w:val="en-US" w:eastAsia="zh-CN"/>
        </w:rPr>
        <w:t>乡镇政府</w:t>
      </w:r>
      <w:r>
        <w:rPr>
          <w:rFonts w:hint="eastAsia" w:ascii="仿宋_GB2312" w:hAnsi="微软雅黑" w:eastAsia="仿宋_GB2312" w:cs="仿宋_GB2312"/>
          <w:i w:val="0"/>
          <w:iCs w:val="0"/>
          <w:caps w:val="0"/>
          <w:color w:val="000000"/>
          <w:spacing w:val="0"/>
          <w:sz w:val="31"/>
          <w:szCs w:val="31"/>
        </w:rPr>
        <w:t>依法实施交通管制，组织消防救援等专业抢险救援队伍开展人员搜救、医疗救护、灾民安置、通信保障、次生灾害防范和应急恢复等工作。</w:t>
      </w:r>
      <w:r>
        <w:rPr>
          <w:rFonts w:hint="eastAsia" w:ascii="仿宋_GB2312" w:hAnsi="微软雅黑" w:cs="仿宋_GB2312"/>
          <w:i w:val="0"/>
          <w:iCs w:val="0"/>
          <w:caps w:val="0"/>
          <w:color w:val="000000"/>
          <w:spacing w:val="0"/>
          <w:sz w:val="31"/>
          <w:szCs w:val="31"/>
          <w:lang w:eastAsia="zh-CN"/>
        </w:rPr>
        <w:t>县指挥部</w:t>
      </w:r>
      <w:r>
        <w:rPr>
          <w:rFonts w:hint="eastAsia" w:ascii="仿宋_GB2312" w:hAnsi="微软雅黑" w:eastAsia="仿宋_GB2312" w:cs="仿宋_GB2312"/>
          <w:i w:val="0"/>
          <w:iCs w:val="0"/>
          <w:caps w:val="0"/>
          <w:color w:val="000000"/>
          <w:spacing w:val="0"/>
          <w:sz w:val="31"/>
          <w:szCs w:val="31"/>
        </w:rPr>
        <w:t>根据应对工作需要或</w:t>
      </w:r>
      <w:r>
        <w:rPr>
          <w:rFonts w:hint="eastAsia" w:ascii="仿宋_GB2312" w:hAnsi="微软雅黑" w:cs="仿宋_GB2312"/>
          <w:i w:val="0"/>
          <w:iCs w:val="0"/>
          <w:caps w:val="0"/>
          <w:color w:val="000000"/>
          <w:spacing w:val="0"/>
          <w:sz w:val="31"/>
          <w:szCs w:val="31"/>
          <w:lang w:val="en-US" w:eastAsia="zh-CN"/>
        </w:rPr>
        <w:t>受灾乡镇政府</w:t>
      </w:r>
      <w:r>
        <w:rPr>
          <w:rFonts w:hint="eastAsia" w:ascii="仿宋_GB2312" w:hAnsi="微软雅黑" w:eastAsia="仿宋_GB2312" w:cs="仿宋_GB2312"/>
          <w:i w:val="0"/>
          <w:iCs w:val="0"/>
          <w:caps w:val="0"/>
          <w:color w:val="000000"/>
          <w:spacing w:val="0"/>
          <w:sz w:val="31"/>
          <w:szCs w:val="31"/>
        </w:rPr>
        <w:t>请求，协调派遣专业技术力量和救援队伍，组织调运抗震救灾物资装备，指导抗震救灾各项工作。</w:t>
      </w:r>
    </w:p>
    <w:p>
      <w:pPr>
        <w:pStyle w:val="5"/>
        <w:keepNext/>
        <w:pageBreakBefore w:val="0"/>
        <w:kinsoku/>
        <w:wordWrap/>
        <w:overflowPunct/>
        <w:topLinePunct w:val="0"/>
        <w:autoSpaceDE/>
        <w:autoSpaceDN/>
        <w:bidi w:val="0"/>
        <w:adjustRightInd w:val="0"/>
        <w:snapToGrid w:val="0"/>
        <w:spacing w:line="576" w:lineRule="exact"/>
        <w:ind w:firstLine="656" w:firstLineChars="200"/>
        <w:textAlignment w:val="auto"/>
        <w:rPr>
          <w:rFonts w:hint="eastAsia" w:ascii="Times New Roman" w:hAnsi="Times New Roman"/>
          <w:b w:val="0"/>
          <w:bCs/>
          <w:sz w:val="32"/>
          <w:szCs w:val="32"/>
          <w:lang w:val="en-US" w:eastAsia="zh-CN"/>
        </w:rPr>
      </w:pPr>
      <w:r>
        <w:rPr>
          <w:rFonts w:hint="eastAsia" w:ascii="Times New Roman" w:hAnsi="Times New Roman"/>
          <w:b w:val="0"/>
          <w:bCs/>
          <w:sz w:val="32"/>
          <w:szCs w:val="32"/>
          <w:lang w:val="en-US" w:eastAsia="zh-CN"/>
        </w:rPr>
        <w:t>其他地震应急处置</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（1）临震应急事件。在省、市人民政府发布地震短期预报或者临震预报后，我县处于预报区的</w:t>
      </w:r>
      <w:r>
        <w:rPr>
          <w:rFonts w:hint="eastAsia" w:ascii="仿宋_GB2312" w:hAnsi="微软雅黑" w:cs="仿宋_GB2312"/>
          <w:i w:val="0"/>
          <w:iCs w:val="0"/>
          <w:caps w:val="0"/>
          <w:color w:val="000000"/>
          <w:spacing w:val="0"/>
          <w:sz w:val="31"/>
          <w:szCs w:val="31"/>
          <w:lang w:eastAsia="zh-CN"/>
        </w:rPr>
        <w:t>乡镇政府</w:t>
      </w:r>
      <w:r>
        <w:rPr>
          <w:rFonts w:hint="eastAsia" w:ascii="仿宋_GB2312" w:hAnsi="微软雅黑" w:eastAsia="仿宋_GB2312" w:cs="仿宋_GB2312"/>
          <w:i w:val="0"/>
          <w:iCs w:val="0"/>
          <w:caps w:val="0"/>
          <w:color w:val="000000"/>
          <w:spacing w:val="0"/>
          <w:sz w:val="31"/>
          <w:szCs w:val="31"/>
        </w:rPr>
        <w:t>要立即进入临震应急状态，启动相应应急措施，县应急管理局配合省、市地震部门做好震情监视跟踪工作，各行业主管部门各司其职，做好地震灾害防范应对准备工作。省、市人民政府发布终止临震应急公告后，临震应急结束。</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（2）有感地震应急响应。有感地震事件是指发生在我县行政区域内4.0级以下能够明显感觉到并造成一定社会影响的地震事件，由县</w:t>
      </w:r>
      <w:r>
        <w:rPr>
          <w:rFonts w:hint="eastAsia" w:ascii="仿宋_GB2312" w:hAnsi="微软雅黑" w:cs="仿宋_GB2312"/>
          <w:i w:val="0"/>
          <w:iCs w:val="0"/>
          <w:caps w:val="0"/>
          <w:color w:val="000000"/>
          <w:spacing w:val="0"/>
          <w:sz w:val="31"/>
          <w:szCs w:val="31"/>
          <w:lang w:val="en-US" w:eastAsia="zh-CN"/>
        </w:rPr>
        <w:t>抗震救灾指挥部办公室</w:t>
      </w:r>
      <w:r>
        <w:rPr>
          <w:rFonts w:hint="eastAsia" w:ascii="仿宋_GB2312" w:hAnsi="微软雅黑" w:eastAsia="仿宋_GB2312" w:cs="仿宋_GB2312"/>
          <w:i w:val="0"/>
          <w:iCs w:val="0"/>
          <w:caps w:val="0"/>
          <w:color w:val="000000"/>
          <w:spacing w:val="0"/>
          <w:sz w:val="31"/>
          <w:szCs w:val="31"/>
        </w:rPr>
        <w:t>负责指导事发地</w:t>
      </w:r>
      <w:r>
        <w:rPr>
          <w:rFonts w:hint="eastAsia" w:ascii="仿宋_GB2312" w:hAnsi="微软雅黑" w:cs="仿宋_GB2312"/>
          <w:i w:val="0"/>
          <w:iCs w:val="0"/>
          <w:caps w:val="0"/>
          <w:color w:val="000000"/>
          <w:spacing w:val="0"/>
          <w:sz w:val="31"/>
          <w:szCs w:val="31"/>
          <w:lang w:eastAsia="zh-CN"/>
        </w:rPr>
        <w:t>乡镇政府</w:t>
      </w:r>
      <w:r>
        <w:rPr>
          <w:rFonts w:hint="eastAsia" w:ascii="仿宋_GB2312" w:hAnsi="微软雅黑" w:eastAsia="仿宋_GB2312" w:cs="仿宋_GB2312"/>
          <w:i w:val="0"/>
          <w:iCs w:val="0"/>
          <w:caps w:val="0"/>
          <w:color w:val="000000"/>
          <w:spacing w:val="0"/>
          <w:sz w:val="31"/>
          <w:szCs w:val="31"/>
        </w:rPr>
        <w:t>及有关部门开展地震应急处置工作。</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（3）地震传言事件的应急响应。地震谣传事件是指某区域出现广泛的地震谣言，对正常社会秩序造成较严重影响的事件，由</w:t>
      </w:r>
      <w:r>
        <w:rPr>
          <w:rFonts w:hint="eastAsia" w:ascii="仿宋_GB2312" w:hAnsi="微软雅黑" w:cs="仿宋_GB2312"/>
          <w:i w:val="0"/>
          <w:iCs w:val="0"/>
          <w:caps w:val="0"/>
          <w:color w:val="000000"/>
          <w:spacing w:val="0"/>
          <w:sz w:val="31"/>
          <w:szCs w:val="31"/>
          <w:lang w:eastAsia="zh-CN"/>
        </w:rPr>
        <w:t>县抗震救灾指挥部办公室</w:t>
      </w:r>
      <w:r>
        <w:rPr>
          <w:rFonts w:hint="eastAsia" w:ascii="仿宋_GB2312" w:hAnsi="微软雅黑" w:eastAsia="仿宋_GB2312" w:cs="仿宋_GB2312"/>
          <w:i w:val="0"/>
          <w:iCs w:val="0"/>
          <w:caps w:val="0"/>
          <w:color w:val="000000"/>
          <w:spacing w:val="0"/>
          <w:sz w:val="31"/>
          <w:szCs w:val="31"/>
        </w:rPr>
        <w:t>负责督促和指导事发地乡镇政府及新闻、公安、网信等有关部门采取有效措施平息谣传。</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rPr>
        <w:t>（4）邻县（区）及市外地震事件的应急响应。邻县（区）及市外地震事件是指在我县邻近的</w:t>
      </w:r>
      <w:r>
        <w:rPr>
          <w:rFonts w:hint="eastAsia" w:ascii="仿宋_GB2312" w:hAnsi="微软雅黑" w:cs="仿宋_GB2312"/>
          <w:i w:val="0"/>
          <w:iCs w:val="0"/>
          <w:caps w:val="0"/>
          <w:color w:val="000000"/>
          <w:spacing w:val="0"/>
          <w:sz w:val="31"/>
          <w:szCs w:val="31"/>
          <w:lang w:val="en-US" w:eastAsia="zh-CN"/>
        </w:rPr>
        <w:t>市县发生地震后</w:t>
      </w:r>
      <w:r>
        <w:rPr>
          <w:rFonts w:hint="eastAsia" w:ascii="仿宋_GB2312" w:hAnsi="微软雅黑" w:eastAsia="仿宋_GB2312" w:cs="仿宋_GB2312"/>
          <w:i w:val="0"/>
          <w:iCs w:val="0"/>
          <w:caps w:val="0"/>
          <w:color w:val="000000"/>
          <w:spacing w:val="0"/>
          <w:sz w:val="31"/>
          <w:szCs w:val="31"/>
        </w:rPr>
        <w:t>，并且对我县产生破坏的地震事件，由县</w:t>
      </w:r>
      <w:r>
        <w:rPr>
          <w:rFonts w:hint="eastAsia" w:ascii="仿宋_GB2312" w:hAnsi="微软雅黑" w:cs="仿宋_GB2312"/>
          <w:i w:val="0"/>
          <w:iCs w:val="0"/>
          <w:caps w:val="0"/>
          <w:color w:val="000000"/>
          <w:spacing w:val="0"/>
          <w:sz w:val="31"/>
          <w:szCs w:val="31"/>
          <w:lang w:val="en-US" w:eastAsia="zh-CN"/>
        </w:rPr>
        <w:t>抗震救灾指挥部办公室</w:t>
      </w:r>
      <w:r>
        <w:rPr>
          <w:rFonts w:hint="eastAsia" w:ascii="仿宋_GB2312" w:hAnsi="微软雅黑" w:eastAsia="仿宋_GB2312" w:cs="仿宋_GB2312"/>
          <w:i w:val="0"/>
          <w:iCs w:val="0"/>
          <w:caps w:val="0"/>
          <w:color w:val="000000"/>
          <w:spacing w:val="0"/>
          <w:sz w:val="31"/>
          <w:szCs w:val="31"/>
        </w:rPr>
        <w:t>根据对我县的破坏情况和影响程度，视情采取相应的地震应急处置措施。</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6" w:name="_Toc9666"/>
      <w:r>
        <w:rPr>
          <w:rFonts w:hint="eastAsia" w:ascii="Times New Roman" w:hAnsi="Times New Roman"/>
          <w:b w:val="0"/>
          <w:bCs/>
          <w:sz w:val="32"/>
          <w:szCs w:val="32"/>
          <w:lang w:val="en-US" w:eastAsia="zh-CN"/>
        </w:rPr>
        <w:t>恢复重建</w:t>
      </w:r>
      <w:bookmarkEnd w:id="46"/>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1"/>
          <w:szCs w:val="31"/>
        </w:rPr>
        <w:t>特别重大、重大地震灾害发生后，按照国务院、省、市有关决策部署，在省、市人民政府指导下做好灾后恢复重建工作；较大地震灾害发生后，在县政府指导下，组织编制地震灾后恢复重建规划并组织实施；一般地震灾害发生后，由</w:t>
      </w:r>
      <w:r>
        <w:rPr>
          <w:rFonts w:hint="eastAsia" w:ascii="仿宋_GB2312" w:hAnsi="微软雅黑" w:cs="仿宋_GB2312"/>
          <w:i w:val="0"/>
          <w:iCs w:val="0"/>
          <w:caps w:val="0"/>
          <w:color w:val="000000"/>
          <w:spacing w:val="0"/>
          <w:sz w:val="31"/>
          <w:szCs w:val="31"/>
          <w:lang w:val="en-US" w:eastAsia="zh-CN"/>
        </w:rPr>
        <w:t>受灾乡镇政府</w:t>
      </w:r>
      <w:r>
        <w:rPr>
          <w:rFonts w:ascii="仿宋_GB2312" w:hAnsi="微软雅黑" w:eastAsia="仿宋_GB2312" w:cs="仿宋_GB2312"/>
          <w:i w:val="0"/>
          <w:iCs w:val="0"/>
          <w:caps w:val="0"/>
          <w:color w:val="000000"/>
          <w:spacing w:val="0"/>
          <w:sz w:val="31"/>
          <w:szCs w:val="31"/>
        </w:rPr>
        <w:t>组织编制地震灾后恢复重建规划并组织实施。</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7" w:name="_Toc6178"/>
      <w:r>
        <w:rPr>
          <w:rFonts w:hint="eastAsia" w:ascii="Times New Roman" w:hAnsi="Times New Roman"/>
          <w:b w:val="0"/>
          <w:bCs/>
          <w:sz w:val="32"/>
          <w:szCs w:val="32"/>
          <w:lang w:val="en-US" w:eastAsia="zh-CN"/>
        </w:rPr>
        <w:t>保障措施</w:t>
      </w:r>
      <w:bookmarkEnd w:id="47"/>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48" w:name="_Toc11159"/>
      <w:bookmarkStart w:id="49" w:name="_Toc25039"/>
      <w:bookmarkStart w:id="50" w:name="_Toc29053"/>
      <w:bookmarkStart w:id="51" w:name="_Toc9356"/>
      <w:bookmarkStart w:id="52" w:name="_Toc9659"/>
      <w:bookmarkStart w:id="53" w:name="_Toc24108"/>
      <w:bookmarkStart w:id="54" w:name="_Toc6267"/>
      <w:bookmarkStart w:id="55" w:name="_Toc26076"/>
      <w:bookmarkStart w:id="56" w:name="_Toc3104"/>
      <w:bookmarkStart w:id="57" w:name="_Toc9612"/>
      <w:r>
        <w:rPr>
          <w:rFonts w:hint="eastAsia" w:ascii="Times New Roman" w:hAnsi="Times New Roman"/>
          <w:b w:val="0"/>
          <w:bCs/>
          <w:sz w:val="32"/>
          <w:szCs w:val="32"/>
          <w:lang w:val="en-US" w:eastAsia="zh-CN"/>
        </w:rPr>
        <w:t>队伍保障</w:t>
      </w:r>
      <w:bookmarkEnd w:id="48"/>
      <w:bookmarkEnd w:id="49"/>
      <w:bookmarkEnd w:id="50"/>
      <w:bookmarkEnd w:id="51"/>
      <w:bookmarkEnd w:id="52"/>
      <w:bookmarkEnd w:id="53"/>
      <w:bookmarkEnd w:id="54"/>
      <w:bookmarkEnd w:id="55"/>
      <w:bookmarkEnd w:id="56"/>
      <w:bookmarkEnd w:id="5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消防救援大队要加强抗震抢险救援能力建设。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有关行业管理部门要加强矿山、危险化学品等次生灾害特别灾害抢险救援能力建设。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有关行业管理部门要加强供水、供电、供气等生命线工程专业抢险能力建设，督促供水、供电、供气设施产权单位或者生产经营单位建立专业抢险队伍。</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卫生健康</w:t>
      </w:r>
      <w:r>
        <w:rPr>
          <w:rFonts w:hint="eastAsia" w:ascii="仿宋_GB2312" w:hAnsi="微软雅黑" w:eastAsia="仿宋_GB2312" w:cs="仿宋_GB2312"/>
          <w:i w:val="0"/>
          <w:iCs w:val="0"/>
          <w:caps w:val="0"/>
          <w:color w:val="000000"/>
          <w:spacing w:val="0"/>
          <w:sz w:val="31"/>
          <w:szCs w:val="31"/>
          <w:lang w:val="en-US" w:eastAsia="zh-CN"/>
        </w:rPr>
        <w:t>局</w:t>
      </w:r>
      <w:r>
        <w:rPr>
          <w:rFonts w:hint="eastAsia" w:ascii="仿宋_GB2312" w:hAnsi="微软雅黑" w:eastAsia="仿宋_GB2312" w:cs="仿宋_GB2312"/>
          <w:i w:val="0"/>
          <w:iCs w:val="0"/>
          <w:caps w:val="0"/>
          <w:color w:val="000000"/>
          <w:spacing w:val="0"/>
          <w:sz w:val="31"/>
          <w:szCs w:val="31"/>
        </w:rPr>
        <w:t>要加强应急卫生救援专业能力建设。</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各</w:t>
      </w:r>
      <w:r>
        <w:rPr>
          <w:rFonts w:hint="eastAsia" w:ascii="仿宋_GB2312" w:hAnsi="微软雅黑" w:eastAsia="仿宋_GB2312" w:cs="仿宋_GB2312"/>
          <w:i w:val="0"/>
          <w:iCs w:val="0"/>
          <w:caps w:val="0"/>
          <w:color w:val="000000"/>
          <w:spacing w:val="0"/>
          <w:sz w:val="31"/>
          <w:szCs w:val="31"/>
          <w:lang w:eastAsia="zh-CN"/>
        </w:rPr>
        <w:t>乡镇</w:t>
      </w:r>
      <w:r>
        <w:rPr>
          <w:rFonts w:hint="eastAsia" w:ascii="仿宋_GB2312" w:hAnsi="微软雅黑" w:cs="仿宋_GB2312"/>
          <w:i w:val="0"/>
          <w:iCs w:val="0"/>
          <w:caps w:val="0"/>
          <w:color w:val="000000"/>
          <w:spacing w:val="0"/>
          <w:sz w:val="31"/>
          <w:szCs w:val="31"/>
          <w:lang w:val="en-US" w:eastAsia="zh-CN"/>
        </w:rPr>
        <w:t>政府</w:t>
      </w:r>
      <w:r>
        <w:rPr>
          <w:rFonts w:hint="eastAsia" w:ascii="仿宋_GB2312" w:hAnsi="微软雅黑" w:eastAsia="仿宋_GB2312" w:cs="仿宋_GB2312"/>
          <w:i w:val="0"/>
          <w:iCs w:val="0"/>
          <w:caps w:val="0"/>
          <w:color w:val="000000"/>
          <w:spacing w:val="0"/>
          <w:sz w:val="31"/>
          <w:szCs w:val="31"/>
        </w:rPr>
        <w:t>应加强综合应急抢险救援能力建设。</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default" w:ascii="Times New Roman" w:hAnsi="Times New Roman"/>
          <w:b w:val="0"/>
          <w:bCs/>
          <w:sz w:val="32"/>
          <w:szCs w:val="32"/>
          <w:lang w:val="en-US" w:eastAsia="zh-CN"/>
        </w:rPr>
      </w:pPr>
      <w:bookmarkStart w:id="58" w:name="_Toc18952"/>
      <w:bookmarkStart w:id="59" w:name="_Toc26327"/>
      <w:bookmarkStart w:id="60" w:name="_Toc16696"/>
      <w:bookmarkStart w:id="61" w:name="_Toc13021"/>
      <w:bookmarkStart w:id="62" w:name="_Toc21848"/>
      <w:bookmarkStart w:id="63" w:name="_Toc15186"/>
      <w:bookmarkStart w:id="64" w:name="_Toc15698"/>
      <w:bookmarkStart w:id="65" w:name="_Toc18033"/>
      <w:bookmarkStart w:id="66" w:name="_Toc19377"/>
      <w:bookmarkStart w:id="67" w:name="_Toc16476"/>
      <w:r>
        <w:rPr>
          <w:rFonts w:hint="eastAsia" w:ascii="Times New Roman" w:hAnsi="Times New Roman"/>
          <w:b w:val="0"/>
          <w:bCs/>
          <w:sz w:val="32"/>
          <w:szCs w:val="32"/>
          <w:lang w:val="en-US" w:eastAsia="zh-CN"/>
        </w:rPr>
        <w:t>指挥技术系统</w:t>
      </w:r>
      <w:bookmarkEnd w:id="58"/>
      <w:r>
        <w:rPr>
          <w:rFonts w:hint="eastAsia" w:ascii="Times New Roman" w:hAnsi="Times New Roman"/>
          <w:b w:val="0"/>
          <w:bCs/>
          <w:sz w:val="32"/>
          <w:szCs w:val="32"/>
          <w:lang w:val="en-US" w:eastAsia="zh-CN"/>
        </w:rPr>
        <w:t>建设</w:t>
      </w:r>
      <w:bookmarkEnd w:id="59"/>
      <w:bookmarkEnd w:id="60"/>
      <w:bookmarkEnd w:id="61"/>
      <w:bookmarkEnd w:id="62"/>
      <w:bookmarkEnd w:id="63"/>
      <w:bookmarkEnd w:id="64"/>
      <w:bookmarkEnd w:id="65"/>
      <w:bookmarkEnd w:id="66"/>
      <w:bookmarkEnd w:id="6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bookmarkStart w:id="68" w:name="_Toc19160"/>
      <w:r>
        <w:rPr>
          <w:rFonts w:hint="eastAsia" w:ascii="仿宋_GB2312" w:hAnsi="微软雅黑" w:cs="仿宋_GB2312"/>
          <w:i w:val="0"/>
          <w:iCs w:val="0"/>
          <w:caps w:val="0"/>
          <w:color w:val="000000"/>
          <w:spacing w:val="0"/>
          <w:sz w:val="31"/>
          <w:szCs w:val="31"/>
          <w:lang w:val="en-US" w:eastAsia="zh-CN"/>
        </w:rPr>
        <w:t>县</w:t>
      </w:r>
      <w:r>
        <w:rPr>
          <w:rFonts w:ascii="仿宋_GB2312" w:hAnsi="微软雅黑" w:eastAsia="仿宋_GB2312" w:cs="仿宋_GB2312"/>
          <w:i w:val="0"/>
          <w:iCs w:val="0"/>
          <w:caps w:val="0"/>
          <w:color w:val="000000"/>
          <w:spacing w:val="0"/>
          <w:sz w:val="31"/>
          <w:szCs w:val="31"/>
        </w:rPr>
        <w:t>政府应当建立健全应急指挥场所，配备相应的应急指挥技术系统。有条件的</w:t>
      </w:r>
      <w:r>
        <w:rPr>
          <w:rFonts w:hint="eastAsia" w:ascii="仿宋_GB2312" w:hAnsi="微软雅黑" w:eastAsia="仿宋_GB2312" w:cs="仿宋_GB2312"/>
          <w:i w:val="0"/>
          <w:iCs w:val="0"/>
          <w:caps w:val="0"/>
          <w:color w:val="000000"/>
          <w:spacing w:val="0"/>
          <w:sz w:val="31"/>
          <w:szCs w:val="31"/>
          <w:lang w:eastAsia="zh-CN"/>
        </w:rPr>
        <w:t>乡镇</w:t>
      </w:r>
      <w:r>
        <w:rPr>
          <w:rFonts w:ascii="仿宋_GB2312" w:hAnsi="微软雅黑" w:eastAsia="仿宋_GB2312" w:cs="仿宋_GB2312"/>
          <w:i w:val="0"/>
          <w:iCs w:val="0"/>
          <w:caps w:val="0"/>
          <w:color w:val="000000"/>
          <w:spacing w:val="0"/>
          <w:sz w:val="31"/>
          <w:szCs w:val="31"/>
        </w:rPr>
        <w:t>也可建设适用的应急指挥系统，并与</w:t>
      </w:r>
      <w:r>
        <w:rPr>
          <w:rFonts w:hint="eastAsia" w:ascii="仿宋_GB2312" w:hAnsi="微软雅黑" w:cs="仿宋_GB2312"/>
          <w:i w:val="0"/>
          <w:iCs w:val="0"/>
          <w:caps w:val="0"/>
          <w:color w:val="000000"/>
          <w:spacing w:val="0"/>
          <w:sz w:val="31"/>
          <w:szCs w:val="31"/>
          <w:lang w:val="en-US" w:eastAsia="zh-CN"/>
        </w:rPr>
        <w:t>县</w:t>
      </w:r>
      <w:r>
        <w:rPr>
          <w:rFonts w:ascii="仿宋_GB2312" w:hAnsi="微软雅黑" w:eastAsia="仿宋_GB2312" w:cs="仿宋_GB2312"/>
          <w:i w:val="0"/>
          <w:iCs w:val="0"/>
          <w:caps w:val="0"/>
          <w:color w:val="000000"/>
          <w:spacing w:val="0"/>
          <w:sz w:val="31"/>
          <w:szCs w:val="31"/>
        </w:rPr>
        <w:t>级应急指挥系统互联互通。</w:t>
      </w:r>
      <w:r>
        <w:rPr>
          <w:rFonts w:hint="eastAsia" w:ascii="仿宋_GB2312" w:hAnsi="微软雅黑" w:cs="仿宋_GB2312"/>
          <w:i w:val="0"/>
          <w:iCs w:val="0"/>
          <w:caps w:val="0"/>
          <w:color w:val="000000"/>
          <w:spacing w:val="0"/>
          <w:sz w:val="31"/>
          <w:szCs w:val="31"/>
          <w:lang w:val="en-US" w:eastAsia="zh-CN"/>
        </w:rPr>
        <w:t>县</w:t>
      </w:r>
      <w:r>
        <w:rPr>
          <w:rFonts w:ascii="仿宋_GB2312" w:hAnsi="微软雅黑" w:eastAsia="仿宋_GB2312" w:cs="仿宋_GB2312"/>
          <w:i w:val="0"/>
          <w:iCs w:val="0"/>
          <w:caps w:val="0"/>
          <w:color w:val="000000"/>
          <w:spacing w:val="0"/>
          <w:sz w:val="31"/>
          <w:szCs w:val="31"/>
        </w:rPr>
        <w:t>抗震救灾指挥部应当建立能全面反映本地实际的基础数据库，健全信息收集和传递渠道，完善日常管理制度和灾情信息处理办法；建立应急通信网络体系，配备卫星电话、对讲机等应急指挥通信设施设备，健全上下互通、资源共享的地震应急指挥技术体系。</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69" w:name="_Toc22093"/>
      <w:bookmarkStart w:id="70" w:name="_Toc9351"/>
      <w:bookmarkStart w:id="71" w:name="_Toc14013"/>
      <w:bookmarkStart w:id="72" w:name="_Toc12447"/>
      <w:bookmarkStart w:id="73" w:name="_Toc14697"/>
      <w:bookmarkStart w:id="74" w:name="_Toc9963"/>
      <w:bookmarkStart w:id="75" w:name="_Toc16176"/>
      <w:bookmarkStart w:id="76" w:name="_Toc14539"/>
      <w:bookmarkStart w:id="77" w:name="_Toc32529"/>
      <w:r>
        <w:rPr>
          <w:rFonts w:hint="eastAsia" w:ascii="Times New Roman" w:hAnsi="Times New Roman"/>
          <w:b w:val="0"/>
          <w:bCs/>
          <w:sz w:val="32"/>
          <w:szCs w:val="32"/>
          <w:lang w:val="en-US" w:eastAsia="zh-CN"/>
        </w:rPr>
        <w:t>物资与资金保障</w:t>
      </w:r>
      <w:bookmarkEnd w:id="68"/>
      <w:bookmarkEnd w:id="69"/>
      <w:bookmarkEnd w:id="70"/>
      <w:bookmarkEnd w:id="71"/>
      <w:bookmarkEnd w:id="72"/>
      <w:bookmarkEnd w:id="73"/>
      <w:bookmarkEnd w:id="74"/>
      <w:bookmarkEnd w:id="75"/>
      <w:bookmarkEnd w:id="76"/>
      <w:bookmarkEnd w:id="7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lang w:val="en-US" w:eastAsia="zh-CN"/>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lang w:val="en-US" w:eastAsia="zh-CN"/>
        </w:rPr>
        <w:t>政府及其有关部门根据有关法律法规，做好装备器材、食品、燃料等应急物资储备工作，并通过与有关生产经营企业签订协议等方式，保障应急物资、生活必需品和应急处置装备的生产、供给。</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78" w:name="_Toc14240"/>
      <w:bookmarkStart w:id="79" w:name="_Toc2384"/>
      <w:bookmarkStart w:id="80" w:name="_Toc3200"/>
      <w:bookmarkStart w:id="81" w:name="_Toc3250"/>
      <w:bookmarkStart w:id="82" w:name="_Toc17215"/>
      <w:bookmarkStart w:id="83" w:name="_Toc28507"/>
      <w:bookmarkStart w:id="84" w:name="_Toc30456"/>
      <w:bookmarkStart w:id="85" w:name="_Toc14238"/>
      <w:bookmarkStart w:id="86" w:name="_Toc7245"/>
      <w:bookmarkStart w:id="87" w:name="_Toc14031"/>
      <w:r>
        <w:rPr>
          <w:rFonts w:hint="eastAsia" w:ascii="Times New Roman" w:hAnsi="Times New Roman"/>
          <w:b w:val="0"/>
          <w:bCs/>
          <w:sz w:val="32"/>
          <w:szCs w:val="32"/>
          <w:lang w:val="en-US" w:eastAsia="zh-CN"/>
        </w:rPr>
        <w:t>应急避难场所保障</w:t>
      </w:r>
      <w:bookmarkEnd w:id="78"/>
      <w:bookmarkEnd w:id="79"/>
      <w:bookmarkEnd w:id="80"/>
      <w:bookmarkEnd w:id="81"/>
      <w:bookmarkEnd w:id="82"/>
      <w:bookmarkEnd w:id="83"/>
      <w:bookmarkEnd w:id="84"/>
      <w:bookmarkEnd w:id="85"/>
      <w:bookmarkEnd w:id="86"/>
      <w:bookmarkEnd w:id="8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政府及其有关部门，利用广场、绿地、公园、学校、体育场馆等公共设施，因地制宜设立地震应急避难场所，统筹安排所必需的交通、通信、供水、供电、排污、环保、物资储备等设备设施。制定应急疏散方案，并组织疏散演练。</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学校、医院、影剧院、商场、酒店、体育场馆等人员密集场所设置地震应急疏散通道，配备必要的救生避险设施，保证通道、出口的畅通。有关单位定期检测、维护报警装置和应急救援设施，使其处于良好状态，确保正常使用。</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88" w:name="_Toc2519"/>
      <w:bookmarkStart w:id="89" w:name="_Toc31212"/>
      <w:bookmarkStart w:id="90" w:name="_Toc18297"/>
      <w:bookmarkStart w:id="91" w:name="_Toc16683"/>
      <w:bookmarkStart w:id="92" w:name="_Toc13804"/>
      <w:bookmarkStart w:id="93" w:name="_Toc20657"/>
      <w:bookmarkStart w:id="94" w:name="_Toc1876"/>
      <w:bookmarkStart w:id="95" w:name="_Toc32287"/>
      <w:bookmarkStart w:id="96" w:name="_Toc18715"/>
      <w:bookmarkStart w:id="97" w:name="_Toc4610"/>
      <w:r>
        <w:rPr>
          <w:rFonts w:hint="eastAsia" w:ascii="Times New Roman" w:hAnsi="Times New Roman"/>
          <w:b w:val="0"/>
          <w:bCs/>
          <w:sz w:val="32"/>
          <w:szCs w:val="32"/>
          <w:lang w:val="en-US" w:eastAsia="zh-CN"/>
        </w:rPr>
        <w:t>基础设施保障</w:t>
      </w:r>
      <w:bookmarkEnd w:id="88"/>
      <w:bookmarkEnd w:id="89"/>
      <w:bookmarkEnd w:id="90"/>
      <w:bookmarkEnd w:id="91"/>
      <w:bookmarkEnd w:id="92"/>
      <w:bookmarkEnd w:id="93"/>
      <w:bookmarkEnd w:id="94"/>
      <w:bookmarkEnd w:id="95"/>
      <w:bookmarkEnd w:id="96"/>
      <w:bookmarkEnd w:id="97"/>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rPr>
        <w:t>中国移动、联通等各相关单位建立有线和无线相结合、基础通信网络与机动通信系统相配套的应急通信保障系统，确保地震应急救援工作的通信畅通。在基础通信网络等基础设施遭到严重损毁且短时间难以修复的极端情况下，立即启动应急通信系统和终端设备，确保</w:t>
      </w:r>
      <w:r>
        <w:rPr>
          <w:rFonts w:hint="eastAsia" w:ascii="仿宋_GB2312" w:hAnsi="微软雅黑" w:eastAsia="仿宋_GB2312" w:cs="仿宋_GB2312"/>
          <w:i w:val="0"/>
          <w:iCs w:val="0"/>
          <w:caps w:val="0"/>
          <w:color w:val="000000"/>
          <w:spacing w:val="0"/>
          <w:sz w:val="31"/>
          <w:szCs w:val="31"/>
          <w:lang w:eastAsia="zh-CN"/>
        </w:rPr>
        <w:t>至少有一种</w:t>
      </w:r>
      <w:r>
        <w:rPr>
          <w:rFonts w:hint="eastAsia" w:ascii="仿宋_GB2312" w:hAnsi="微软雅黑" w:eastAsia="仿宋_GB2312" w:cs="仿宋_GB2312"/>
          <w:i w:val="0"/>
          <w:iCs w:val="0"/>
          <w:caps w:val="0"/>
          <w:color w:val="000000"/>
          <w:spacing w:val="0"/>
          <w:sz w:val="31"/>
          <w:szCs w:val="31"/>
        </w:rPr>
        <w:t>临时通信手段有效、畅通。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政府以应急预案为基础，加强对日常通信设备到位情况和备用措施的检查，保证通信畅通。</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县文化广电和旅游局</w:t>
      </w:r>
      <w:r>
        <w:rPr>
          <w:rFonts w:hint="eastAsia" w:ascii="仿宋_GB2312" w:hAnsi="微软雅黑" w:eastAsia="仿宋_GB2312" w:cs="仿宋_GB2312"/>
          <w:i w:val="0"/>
          <w:iCs w:val="0"/>
          <w:caps w:val="0"/>
          <w:color w:val="000000"/>
          <w:spacing w:val="0"/>
          <w:sz w:val="31"/>
          <w:szCs w:val="31"/>
        </w:rPr>
        <w:t>完善广播电视传输覆盖网，建立完善应急广播体系与地震信息发布绿色通道机制，确保群众能及时准确地获取政府发布的权威信息。</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eastAsia="仿宋_GB2312" w:cs="仿宋_GB2312"/>
          <w:i w:val="0"/>
          <w:iCs w:val="0"/>
          <w:caps w:val="0"/>
          <w:color w:val="000000"/>
          <w:spacing w:val="0"/>
          <w:sz w:val="31"/>
          <w:szCs w:val="31"/>
          <w:lang w:val="en-US" w:eastAsia="zh-CN"/>
        </w:rPr>
        <w:t>国网</w:t>
      </w:r>
      <w:r>
        <w:rPr>
          <w:rFonts w:hint="eastAsia" w:ascii="仿宋_GB2312" w:hAnsi="微软雅黑" w:cs="仿宋_GB2312"/>
          <w:i w:val="0"/>
          <w:iCs w:val="0"/>
          <w:caps w:val="0"/>
          <w:color w:val="000000"/>
          <w:spacing w:val="0"/>
          <w:sz w:val="31"/>
          <w:szCs w:val="31"/>
          <w:lang w:val="en-US" w:eastAsia="zh-CN"/>
        </w:rPr>
        <w:t>集贤县</w:t>
      </w:r>
      <w:r>
        <w:rPr>
          <w:rFonts w:hint="eastAsia" w:ascii="仿宋_GB2312" w:hAnsi="微软雅黑" w:eastAsia="仿宋_GB2312" w:cs="仿宋_GB2312"/>
          <w:i w:val="0"/>
          <w:iCs w:val="0"/>
          <w:caps w:val="0"/>
          <w:color w:val="000000"/>
          <w:spacing w:val="0"/>
          <w:sz w:val="31"/>
          <w:szCs w:val="31"/>
          <w:lang w:val="en-US" w:eastAsia="zh-CN"/>
        </w:rPr>
        <w:t>供电公司</w:t>
      </w:r>
      <w:r>
        <w:rPr>
          <w:rFonts w:hint="eastAsia" w:ascii="仿宋_GB2312" w:hAnsi="微软雅黑" w:eastAsia="仿宋_GB2312" w:cs="仿宋_GB2312"/>
          <w:i w:val="0"/>
          <w:iCs w:val="0"/>
          <w:caps w:val="0"/>
          <w:color w:val="000000"/>
          <w:spacing w:val="0"/>
          <w:sz w:val="31"/>
          <w:szCs w:val="31"/>
        </w:rPr>
        <w:t>等电力企业加强电力基础设施、电力调度系统建设，保障地震现场应急处置工作中的临时供电需求和灾区电力供应。</w:t>
      </w:r>
    </w:p>
    <w:p>
      <w:pPr>
        <w:pStyle w:val="2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76" w:lineRule="exact"/>
        <w:ind w:left="0" w:right="0" w:firstLine="612" w:firstLineChars="200"/>
        <w:jc w:val="both"/>
        <w:rPr>
          <w:rFonts w:hint="eastAsia" w:ascii="仿宋_GB2312" w:hAnsi="微软雅黑" w:eastAsia="仿宋_GB2312" w:cs="仿宋_GB2312"/>
          <w:i w:val="0"/>
          <w:iCs w:val="0"/>
          <w:caps w:val="0"/>
          <w:color w:val="000000"/>
          <w:spacing w:val="0"/>
          <w:sz w:val="31"/>
          <w:szCs w:val="31"/>
        </w:rPr>
      </w:pP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公安局、</w:t>
      </w: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lang w:val="en-US" w:eastAsia="zh-CN"/>
        </w:rPr>
        <w:t>住房和城乡建设局</w:t>
      </w:r>
      <w:r>
        <w:rPr>
          <w:rFonts w:hint="eastAsia" w:ascii="仿宋_GB2312" w:hAnsi="微软雅黑" w:eastAsia="仿宋_GB2312" w:cs="仿宋_GB2312"/>
          <w:i w:val="0"/>
          <w:iCs w:val="0"/>
          <w:caps w:val="0"/>
          <w:color w:val="000000"/>
          <w:spacing w:val="0"/>
          <w:sz w:val="31"/>
          <w:szCs w:val="31"/>
        </w:rPr>
        <w:t>、</w:t>
      </w:r>
      <w:r>
        <w:rPr>
          <w:rFonts w:hint="eastAsia" w:ascii="仿宋_GB2312" w:hAnsi="微软雅黑" w:cs="仿宋_GB2312"/>
          <w:i w:val="0"/>
          <w:iCs w:val="0"/>
          <w:caps w:val="0"/>
          <w:color w:val="000000"/>
          <w:spacing w:val="0"/>
          <w:sz w:val="31"/>
          <w:szCs w:val="31"/>
          <w:lang w:val="en-US" w:eastAsia="zh-CN"/>
        </w:rPr>
        <w:t>县</w:t>
      </w:r>
      <w:r>
        <w:rPr>
          <w:rFonts w:hint="eastAsia" w:ascii="仿宋_GB2312" w:hAnsi="微软雅黑" w:eastAsia="仿宋_GB2312" w:cs="仿宋_GB2312"/>
          <w:i w:val="0"/>
          <w:iCs w:val="0"/>
          <w:caps w:val="0"/>
          <w:color w:val="000000"/>
          <w:spacing w:val="0"/>
          <w:sz w:val="31"/>
          <w:szCs w:val="31"/>
        </w:rPr>
        <w:t>交通运输局等建立健全公路紧急运输保障体系</w:t>
      </w:r>
      <w:r>
        <w:rPr>
          <w:rFonts w:hint="eastAsia" w:ascii="仿宋_GB2312" w:hAnsi="微软雅黑" w:eastAsia="仿宋_GB2312" w:cs="仿宋_GB2312"/>
          <w:i w:val="0"/>
          <w:iCs w:val="0"/>
          <w:caps w:val="0"/>
          <w:color w:val="000000"/>
          <w:spacing w:val="0"/>
          <w:sz w:val="31"/>
          <w:szCs w:val="31"/>
          <w:lang w:eastAsia="zh-CN"/>
        </w:rPr>
        <w:t>，</w:t>
      </w:r>
      <w:r>
        <w:rPr>
          <w:rFonts w:hint="eastAsia" w:ascii="仿宋_GB2312" w:hAnsi="微软雅黑" w:eastAsia="仿宋_GB2312" w:cs="仿宋_GB2312"/>
          <w:i w:val="0"/>
          <w:iCs w:val="0"/>
          <w:caps w:val="0"/>
          <w:color w:val="000000"/>
          <w:spacing w:val="0"/>
          <w:sz w:val="31"/>
          <w:szCs w:val="31"/>
        </w:rPr>
        <w:t>加强统一指挥调度，依法采取必要的交通管制措施，建立应急救援“绿色通道”机制。</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8" w:name="_Toc17785"/>
      <w:r>
        <w:rPr>
          <w:rFonts w:hint="eastAsia" w:ascii="Times New Roman" w:hAnsi="Times New Roman"/>
          <w:b w:val="0"/>
          <w:bCs/>
          <w:sz w:val="32"/>
          <w:szCs w:val="32"/>
          <w:lang w:val="en-US" w:eastAsia="zh-CN"/>
        </w:rPr>
        <w:t>预案管理</w:t>
      </w:r>
      <w:bookmarkEnd w:id="98"/>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99" w:name="_Toc21411"/>
      <w:r>
        <w:rPr>
          <w:rFonts w:hint="eastAsia" w:ascii="Times New Roman" w:hAnsi="Times New Roman"/>
          <w:b w:val="0"/>
          <w:bCs/>
          <w:sz w:val="32"/>
          <w:szCs w:val="32"/>
          <w:lang w:val="en-US" w:eastAsia="zh-CN"/>
        </w:rPr>
        <w:t>评估与修订</w:t>
      </w:r>
      <w:bookmarkEnd w:id="99"/>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县应急管理局根据实际情况变化和国家、省、市级预案修订情况，及时对预案进行修订更新。有下列情形之一的，应当及时修订本预案：</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（1）有关法律、行政法规、规章、标准、上位预案中有关规定发生变化的；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（2）县指挥部及其职责发生重大调整的；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（3）面临风险发生重大变化的；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（4）重要应急资源发生重大变化的；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（5）预案中其他重要信息发生变化的；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（6）在突发事件实际应对和应急演练中发现问题需要作出重大调整的；</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（7）应急保障预案制定单位认为应当修订的其他情况。</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0" w:name="_Toc22548"/>
      <w:r>
        <w:rPr>
          <w:rFonts w:hint="eastAsia" w:ascii="Times New Roman" w:hAnsi="Times New Roman"/>
          <w:b w:val="0"/>
          <w:bCs/>
          <w:sz w:val="32"/>
          <w:szCs w:val="32"/>
          <w:lang w:val="en-US" w:eastAsia="zh-CN"/>
        </w:rPr>
        <w:t>应急演练</w:t>
      </w:r>
      <w:bookmarkEnd w:id="100"/>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县应急管理局会同有关成员单位结合实际制定地震灾害应急演练计划，定期组织开展演练，每3年至少组织一次县级专项预案演练。</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1" w:name="_Toc10148"/>
      <w:r>
        <w:rPr>
          <w:rFonts w:hint="eastAsia" w:ascii="Times New Roman" w:hAnsi="Times New Roman"/>
          <w:b w:val="0"/>
          <w:bCs/>
          <w:sz w:val="32"/>
          <w:szCs w:val="32"/>
          <w:lang w:val="en-US" w:eastAsia="zh-CN"/>
        </w:rPr>
        <w:t>宣传与培训</w:t>
      </w:r>
      <w:bookmarkEnd w:id="101"/>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县指挥部及各成员单位开展抗震救灾宣传活动，利用各种媒体宣传抗震救灾知识，宣传灾害应急法律法规和预防、避险、避灾、自救、互救、保险常识，组织好“全国防灾减灾日”“国际减灾日”“全国科普日”“全国消防日”和“国际民防日”等活动，增强公民抗震救灾意识。组织开展地方政府分管领导、灾害管理人员和专业应急救援队伍、非政府组织和志愿者的培训，不断提升抗震救灾工作能力。</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2" w:name="_Toc9530"/>
      <w:r>
        <w:rPr>
          <w:rFonts w:hint="eastAsia" w:ascii="Times New Roman" w:hAnsi="Times New Roman"/>
          <w:b w:val="0"/>
          <w:bCs/>
          <w:sz w:val="32"/>
          <w:szCs w:val="32"/>
          <w:lang w:val="en-US" w:eastAsia="zh-CN"/>
        </w:rPr>
        <w:t>监督与奖惩</w:t>
      </w:r>
      <w:bookmarkEnd w:id="102"/>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对在抗震救灾工作中做出突出贡献的先进集体和个人，按照国家和市有关规定给予表扬和奖励；对在抗震救灾工作中玩忽职守造成损失的，严重虚报、瞒报灾情的，依据国家有关法律法规追究当事人的责任，构成犯罪的，依法追究其刑事责任。</w:t>
      </w:r>
    </w:p>
    <w:p>
      <w:pPr>
        <w:pStyle w:val="3"/>
        <w:keepNext/>
        <w:pageBreakBefore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3" w:name="_Toc7899"/>
      <w:r>
        <w:rPr>
          <w:rFonts w:hint="eastAsia" w:ascii="Times New Roman" w:hAnsi="Times New Roman"/>
          <w:b w:val="0"/>
          <w:bCs/>
          <w:sz w:val="32"/>
          <w:szCs w:val="32"/>
          <w:lang w:val="en-US" w:eastAsia="zh-CN"/>
        </w:rPr>
        <w:t>附则</w:t>
      </w:r>
      <w:bookmarkEnd w:id="103"/>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4" w:name="_Toc30012"/>
      <w:r>
        <w:rPr>
          <w:rFonts w:hint="eastAsia" w:ascii="Times New Roman" w:hAnsi="Times New Roman"/>
          <w:b w:val="0"/>
          <w:bCs/>
          <w:sz w:val="32"/>
          <w:szCs w:val="32"/>
          <w:lang w:val="en-US" w:eastAsia="zh-CN"/>
        </w:rPr>
        <w:t>名词术语解释</w:t>
      </w:r>
      <w:bookmarkEnd w:id="104"/>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本预案有关数量的表述中，“以上”含本数，“以下”不含本数。</w:t>
      </w:r>
    </w:p>
    <w:p>
      <w:pPr>
        <w:pStyle w:val="4"/>
        <w:keepNext/>
        <w:keepLines/>
        <w:pageBreakBefore w:val="0"/>
        <w:widowControl w:val="0"/>
        <w:kinsoku/>
        <w:wordWrap/>
        <w:overflowPunct/>
        <w:topLinePunct w:val="0"/>
        <w:autoSpaceDE/>
        <w:autoSpaceDN/>
        <w:bidi w:val="0"/>
        <w:adjustRightInd w:val="0"/>
        <w:snapToGrid w:val="0"/>
        <w:spacing w:line="576" w:lineRule="exact"/>
        <w:ind w:firstLine="632" w:firstLineChars="200"/>
        <w:textAlignment w:val="auto"/>
        <w:rPr>
          <w:rFonts w:hint="eastAsia" w:ascii="Times New Roman" w:hAnsi="Times New Roman"/>
          <w:b w:val="0"/>
          <w:bCs/>
          <w:sz w:val="32"/>
          <w:szCs w:val="32"/>
          <w:lang w:val="en-US" w:eastAsia="zh-CN"/>
        </w:rPr>
      </w:pPr>
      <w:bookmarkStart w:id="105" w:name="_Toc6397"/>
      <w:r>
        <w:rPr>
          <w:rFonts w:hint="eastAsia" w:ascii="Times New Roman" w:hAnsi="Times New Roman"/>
          <w:b w:val="0"/>
          <w:bCs/>
          <w:sz w:val="32"/>
          <w:szCs w:val="32"/>
          <w:lang w:val="en-US" w:eastAsia="zh-CN"/>
        </w:rPr>
        <w:t>预案解释与实施</w:t>
      </w:r>
      <w:bookmarkEnd w:id="105"/>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本预案由集贤县人民政府负责解释。</w:t>
      </w:r>
    </w:p>
    <w:p>
      <w:pPr>
        <w:pageBreakBefore w:val="0"/>
        <w:kinsoku/>
        <w:wordWrap/>
        <w:overflowPunct/>
        <w:topLinePunct w:val="0"/>
        <w:autoSpaceDE/>
        <w:autoSpaceDN/>
        <w:bidi w:val="0"/>
        <w:adjustRightInd w:val="0"/>
        <w:snapToGrid w:val="0"/>
        <w:spacing w:line="576" w:lineRule="exact"/>
        <w:ind w:firstLine="632" w:firstLineChars="200"/>
        <w:rPr>
          <w:rFonts w:hint="eastAsia" w:ascii="Times New Roman" w:hAnsi="Times New Roman"/>
          <w:b w:val="0"/>
          <w:bCs w:val="0"/>
          <w:sz w:val="32"/>
          <w:szCs w:val="32"/>
          <w:lang w:val="en-US" w:eastAsia="zh-CN"/>
        </w:rPr>
      </w:pPr>
      <w:r>
        <w:rPr>
          <w:rFonts w:hint="eastAsia" w:ascii="Times New Roman" w:hAnsi="Times New Roman"/>
          <w:b w:val="0"/>
          <w:bCs w:val="0"/>
          <w:sz w:val="32"/>
          <w:szCs w:val="32"/>
          <w:lang w:val="en-US" w:eastAsia="zh-CN"/>
        </w:rPr>
        <w:t>本预案自发布之日起施行。</w:t>
      </w:r>
    </w:p>
    <w:p>
      <w:pPr>
        <w:adjustRightInd w:val="0"/>
        <w:snapToGrid w:val="0"/>
        <w:spacing w:line="580" w:lineRule="exact"/>
        <w:rPr>
          <w:rFonts w:hint="eastAsia" w:ascii="仿宋_GB2312" w:hAnsi="仿宋_GB2312" w:eastAsia="仿宋_GB2312" w:cs="仿宋_GB2312"/>
          <w:sz w:val="32"/>
          <w:szCs w:val="32"/>
        </w:rPr>
      </w:pPr>
    </w:p>
    <w:p>
      <w:pPr>
        <w:adjustRightInd w:val="0"/>
        <w:snapToGrid w:val="0"/>
        <w:spacing w:line="580" w:lineRule="exact"/>
        <w:ind w:firstLine="632"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adjustRightInd w:val="0"/>
        <w:snapToGrid w:val="0"/>
        <w:spacing w:line="560" w:lineRule="exact"/>
        <w:ind w:firstLine="276" w:firstLineChars="100"/>
        <w:textAlignment w:val="baseline"/>
        <w:rPr>
          <w:rFonts w:hint="eastAsia" w:ascii="仿宋_GB2312" w:eastAsia="仿宋_GB2312"/>
          <w:sz w:val="28"/>
          <w:szCs w:val="28"/>
        </w:rPr>
      </w:pPr>
      <w:r>
        <w:rPr>
          <w:rFonts w:hint="eastAsia"/>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46990</wp:posOffset>
                </wp:positionV>
                <wp:extent cx="5414010" cy="3175"/>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41401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05pt;margin-top:3.7pt;height:0.25pt;width:426.3pt;z-index:251659264;mso-width-relative:page;mso-height-relative:page;" filled="f" stroked="t" coordsize="21600,21600" o:gfxdata="UEsDBAoAAAAAAIdO4kAAAAAAAAAAAAAAAAAEAAAAZHJzL1BLAwQUAAAACACHTuJA4E+34dQAAAAG&#10;AQAADwAAAGRycy9kb3ducmV2LnhtbE2OwU7DMBBE70j8g7VI3Fo7gUIb4lQIARekSpTA2YmXJMJe&#10;R7Gblr9nOcFxNKM3r9yevBMzTnEIpCFbKhBIbbADdRrqt6fFGkRMhqxxgVDDN0bYVudnpSlsONIr&#10;zvvUCYZQLIyGPqWxkDK2PXoTl2FE4u4zTN4kjlMn7WSODPdO5krdSG8G4ofejPjQY/u1P3gN9x8v&#10;j1e7ufHB2U1Xv1tfq+dc68uLTN2BSHhKf2P41Wd1qNipCQeyUTgNizzjpYbbaxBcr1dqBaLhvAFZ&#10;lfK/fvUDUEsDBBQAAAAIAIdO4kChZQvm/gEAAPEDAAAOAAAAZHJzL2Uyb0RvYy54bWytU7uOEzEU&#10;7ZH4B8s9mSRsyDLKZIsNS4MgEo/+xo8ZS37JdjLJT/ADSHRQUW7P37D7GVx7QoClSYEL69r3+Pie&#10;4+vF1d5oshMhKmcbOhmNKRGWOa5s29D3726eXFISE1gO2lnR0IOI9Gr5+NGi97WYus5pLgJBEhvr&#10;3je0S8nXVRVZJwzEkfPCYlK6YCDhMrQVD9Aju9HVdDx+VvUucB8cEzHi7mpI0iNjOIfQSamYWDm2&#10;NcKmgTUIDQklxU75SJelWikFS2+kjCIR3VBUmsqMl2C8yXO1XEDdBvCdYscS4JwSHmgyoCxeeqJa&#10;QQKyDeofKqNYcNHJNGLOVIOQ4giqmIwfePO2Ay+KFrQ6+pPp8f/Rste7dSCKN3ROiQWDD3736fbH&#10;xy/33z/jfPftK5lnk3ofa8Re23U4rqJfh6x4L4MhUiv/AbupeICqyL5YfDhZLPaJMNycXUwuUCgl&#10;DHNPJ/NZJq8GlszmQ0wvhTMkBw3VymYDoIbdq5gG6C9I3taW9A19PpvOkBGwGyV2AYbGo6Jo23I2&#10;Oq34jdI6n4ih3VzrQHaQO6KMYwl/wfIlK4jdgCupDIO6E8BfWE7SwaNXFr8IzSUYwSnRAn9Ujgoy&#10;gdLnIFG9tmhCtngwNUcbxw/4MlsfVNuhE5NSZc5gJxTLjl2bW+3PdWH6/VOX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gT7fh1AAAAAYBAAAPAAAAAAAAAAEAIAAAACIAAABkcnMvZG93bnJldi54&#10;bWxQSwECFAAUAAAACACHTuJAoWUL5v4BAADxAwAADgAAAAAAAAABACAAAAAjAQAAZHJzL2Uyb0Rv&#10;Yy54bWxQSwUGAAAAAAYABgBZAQAAkwUAAAAA&#10;">
                <v:fill on="f" focussize="0,0"/>
                <v:stroke color="#000000" joinstyle="round"/>
                <v:imagedata o:title=""/>
                <o:lock v:ext="edit" aspectratio="f"/>
              </v:line>
            </w:pict>
          </mc:Fallback>
        </mc:AlternateContent>
      </w:r>
      <w:r>
        <w:rPr>
          <w:rFonts w:hint="eastAsia" w:ascii="仿宋_GB2312" w:eastAsia="仿宋_GB2312"/>
          <w:sz w:val="28"/>
          <w:szCs w:val="28"/>
        </w:rPr>
        <w:t>抄送：县委办，县纪委办。</w:t>
      </w:r>
    </w:p>
    <w:p>
      <w:pPr>
        <w:adjustRightInd w:val="0"/>
        <w:snapToGrid w:val="0"/>
        <w:spacing w:line="560" w:lineRule="exact"/>
        <w:textAlignment w:val="baseline"/>
        <w:rPr>
          <w:rFonts w:hint="eastAsia" w:ascii="仿宋_GB2312" w:eastAsia="仿宋_GB2312"/>
          <w:sz w:val="28"/>
          <w:szCs w:val="28"/>
        </w:rPr>
      </w:pPr>
      <w:r>
        <w:rPr>
          <w:rFonts w:hint="eastAsia" w:ascii="仿宋_GB2312" w:eastAsia="仿宋_GB2312"/>
          <w:sz w:val="28"/>
          <w:szCs w:val="28"/>
        </w:rPr>
        <w:t xml:space="preserve">        县人大办，县政协办，县法院，县检察院。</w:t>
      </w:r>
    </w:p>
    <w:p>
      <w:pPr>
        <w:adjustRightInd w:val="0"/>
        <w:snapToGrid w:val="0"/>
        <w:spacing w:line="560" w:lineRule="exact"/>
        <w:ind w:firstLine="276" w:firstLineChars="100"/>
        <w:textAlignment w:val="baseline"/>
        <w:rPr>
          <w:rFonts w:hint="default" w:ascii="仿宋_GB2312" w:hAnsi="微软雅黑" w:eastAsia="仿宋_GB2312" w:cs="仿宋_GB2312"/>
          <w:i w:val="0"/>
          <w:iCs w:val="0"/>
          <w:caps w:val="0"/>
          <w:color w:val="000000"/>
          <w:spacing w:val="0"/>
          <w:sz w:val="31"/>
          <w:szCs w:val="31"/>
          <w:vertAlign w:val="baseline"/>
          <w:lang w:val="en-US" w:eastAsia="zh-CN"/>
        </w:rPr>
      </w:pPr>
      <w:r>
        <w:rPr>
          <w:rFonts w:hint="eastAsia"/>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447675</wp:posOffset>
                </wp:positionV>
                <wp:extent cx="5414010" cy="317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5414010" cy="317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35.25pt;height:0.25pt;width:426.3pt;z-index:251661312;mso-width-relative:page;mso-height-relative:page;" filled="f" stroked="t" coordsize="21600,21600" o:gfxdata="UEsDBAoAAAAAAIdO4kAAAAAAAAAAAAAAAAAEAAAAZHJzL1BLAwQUAAAACACHTuJANavuI9UAAAAG&#10;AQAADwAAAGRycy9kb3ducmV2LnhtbE2PwU7DMBBE70j8g7VI3KidoJY2jVMhBFyQkFoCZydekgh7&#10;HcVuWv6e5QTHnRnNvC13Z+/EjFMcAmnIFgoEUhvsQJ2G+u3pZg0iJkPWuECo4Rsj7KrLi9IUNpxo&#10;j/MhdYJLKBZGQ5/SWEgZ2x69iYswIrH3GSZvEp9TJ+1kTlzuncyVWklvBuKF3oz40GP7dTh6Dfcf&#10;L4+3r3Pjg7Obrn63vlbPudbXV5nagkh4Tn9h+MVndKiYqQlHslE4DfxI0nCnliDYXS/zFYiGhUyB&#10;rEr5H7/6AVBLAwQUAAAACACHTuJAPUouKf0BAADzAwAADgAAAGRycy9lMm9Eb2MueG1srVNLjhMx&#10;EN0jcQfLe9JJmPBppTOLCcMGwUh89hXb3W3JP7mcdHIJLoDEDlYs2XMbhmNQdocAwyYLvLDKrufn&#10;es/l5eXeGrZTEbV3DZ9NppwpJ7zUrmv42zfXD55whgmcBOOdavhBIb9c3b+3HEKt5r73RqrIiMRh&#10;PYSG9ymFuqpQ9MoCTnxQjpKtjxYSLWNXyQgDsVtTzafTR9XgowzRC4VIu+sxyY+M8RxC37ZaqLUX&#10;W6tcGlmjMpBIEvY6IF+VattWifSqbVElZhpOSlOZ6RKKN3muVkuouwih1+JYApxTwh1NFrSjS09U&#10;a0jAtlH/Q2W1iB59mybC22oUUhwhFbPpHW9e9xBU0UJWYziZjv+PVrzc3USmJXXCjDMHll789sPX&#10;7+8//fj2kebbL58ZZcimIWBN6Ct3E48rDDcxa9630bLW6PCOWIoLpIvti8mHk8lqn5igzcXF7IKk&#10;ciYo93D2eJHJq5Els4WI6bnyluWg4Ua7bAHUsHuBaYT+guRt49jQ8KeL+YIYgfqxpT6g0AbShK4r&#10;Z9EbLa+1MfkExm5zZSLbQe6JMo4l/AXLl6wB+xFXUhkGda9APnOSpUMgsxx9Ep5LsEpyZhT9qRwV&#10;ZAJtzkGSeuPIhGzxaGqONl4e6G22IequJyfKKxQM9UKx7Ni3udn+XBem33919R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1q+4j1QAAAAYBAAAPAAAAAAAAAAEAIAAAACIAAABkcnMvZG93bnJldi54&#10;bWxQSwECFAAUAAAACACHTuJAPUouKf0BAADzAwAADgAAAAAAAAABACAAAAAkAQAAZHJzL2Uyb0Rv&#10;Yy54bWxQSwUGAAAAAAYABgBZAQAAkw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15240</wp:posOffset>
                </wp:positionV>
                <wp:extent cx="5407025" cy="7620"/>
                <wp:effectExtent l="0" t="0" r="0" b="0"/>
                <wp:wrapNone/>
                <wp:docPr id="8" name="直接连接符 8"/>
                <wp:cNvGraphicFramePr/>
                <a:graphic xmlns:a="http://schemas.openxmlformats.org/drawingml/2006/main">
                  <a:graphicData uri="http://schemas.microsoft.com/office/word/2010/wordprocessingShape">
                    <wps:wsp>
                      <wps:cNvCnPr/>
                      <wps:spPr>
                        <a:xfrm flipV="1">
                          <a:off x="0" y="0"/>
                          <a:ext cx="5407025" cy="76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pt;margin-top:1.2pt;height:0.6pt;width:425.75pt;z-index:251660288;mso-width-relative:page;mso-height-relative:page;" filled="f" stroked="t" coordsize="21600,21600" o:gfxdata="UEsDBAoAAAAAAIdO4kAAAAAAAAAAAAAAAAAEAAAAZHJzL1BLAwQUAAAACACHTuJAktvIVNQAAAAE&#10;AQAADwAAAGRycy9kb3ducmV2LnhtbE2PwU7DMBBE70j8g7VI3KidlFZtyKZCCLggIVFCz068JBH2&#10;OordtPw95gTH0Yxm3pS7s7NipikMnhGyhQJB3HozcIdQvz/dbECEqNlo65kQvinArrq8KHVh/Inf&#10;aN7HTqQSDoVG6GMcCylD25PTYeFH4uR9+snpmOTUSTPpUyp3VuZKraXTA6eFXo/00FP7tT86hPvD&#10;y+PydW6ct2bb1R/G1eo5R7y+ytQdiEjn+BeGX/yEDlViavyRTRAWIR2JCPktiGRuVtkKRIOwXIOs&#10;SvkfvvoBUEsDBBQAAAAIAIdO4kAVBPfuAAIAAPEDAAAOAAAAZHJzL2Uyb0RvYy54bWytU0uOEzEQ&#10;3SNxB8t70p2IzAytdGYxYdggiMRn7/jTbck/uZx0cgkugMQOVizZz20YjkHZHQIMmyzohWW7ql/V&#10;e/W8uN5bQ3YygvaupdNJTYl03Avtupa+e3v75IoSSMwJZryTLT1IoNfLx48WQ2jkzPfeCBkJgjho&#10;htDSPqXQVBXwXloGEx+kw6Dy0bKEx9hVIrIB0a2pZnV9UQ0+ihA9lwB4uxqD9IgYzwH0SmkuV55v&#10;rXRpRI3SsISUoNcB6LJ0q5Tk6bVSIBMxLUWmqaxYBPebvFbLBWu6yEKv+bEFdk4LDzhZph0WPUGt&#10;WGJkG/U/UFbz6MGrNOHeViORogiymNYPtHnTsyALF5Qawkl0+H+w/NVuHYkWLcWxO2Zx4Pcfv33/&#10;8PnH3Sdc779+IVdZpCFAg7k3bh2PJwjrmBnvVbREGR3eo5uKBsiK7IvEh5PEcp8Ix8v50/qyns0p&#10;4Ri7vJiVCVQjSkYLEdIL6S3Jm5Ya7bIArGG7l5CwMqb+SsnXxpGhpc/mBZGhGxW6AMFtQEbguvIv&#10;eKPFrTYm/wGx29yYSHYsO6J8mR/i/pWWi6wY9GNeCY1e6SUTz50g6RBQK4dPhOYWrBSUGIkvKu8Q&#10;kDWJaXNOJpY2DjvIEo+i5t3GiwNOZhui7npUYlq6zBF0Qun36NpstT/PBen3S13+B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LbyFTUAAAABAEAAA8AAAAAAAAAAQAgAAAAIgAAAGRycy9kb3ducmV2&#10;LnhtbFBLAQIUABQAAAAIAIdO4kAVBPfuAAIAAPEDAAAOAAAAAAAAAAEAIAAAACMBAABkcnMvZTJv&#10;RG9jLnhtbFBLBQYAAAAABgAGAFkBAACVBQAAAAA=&#10;">
                <v:fill on="f" focussize="0,0"/>
                <v:stroke color="#000000" joinstyle="round"/>
                <v:imagedata o:title=""/>
                <o:lock v:ext="edit" aspectratio="f"/>
              </v:line>
            </w:pict>
          </mc:Fallback>
        </mc:AlternateContent>
      </w:r>
      <w:r>
        <w:rPr>
          <w:rFonts w:hint="eastAsia" w:ascii="仿宋_GB2312" w:eastAsia="仿宋_GB2312"/>
          <w:sz w:val="28"/>
          <w:szCs w:val="28"/>
        </w:rPr>
        <w:t>集贤县人民政府办公室    　            202</w:t>
      </w:r>
      <w:r>
        <w:rPr>
          <w:rFonts w:hint="eastAsia" w:ascii="仿宋_GB2312" w:eastAsia="仿宋_GB2312"/>
          <w:sz w:val="28"/>
          <w:szCs w:val="28"/>
          <w:lang w:val="en-US" w:eastAsia="zh-CN"/>
        </w:rPr>
        <w:t>4</w:t>
      </w:r>
      <w:r>
        <w:rPr>
          <w:rFonts w:hint="eastAsia" w:ascii="仿宋_GB2312" w:eastAsia="仿宋_GB2312"/>
          <w:sz w:val="28"/>
          <w:szCs w:val="28"/>
        </w:rPr>
        <w:t>年</w:t>
      </w:r>
      <w:r>
        <w:rPr>
          <w:rFonts w:hint="eastAsia" w:ascii="仿宋_GB2312" w:eastAsia="仿宋_GB2312"/>
          <w:sz w:val="28"/>
          <w:szCs w:val="28"/>
          <w:lang w:val="en-US" w:eastAsia="zh-CN"/>
        </w:rPr>
        <w:t>12</w:t>
      </w:r>
      <w:r>
        <w:rPr>
          <w:rFonts w:hint="eastAsia" w:ascii="仿宋_GB2312" w:eastAsia="仿宋_GB2312"/>
          <w:sz w:val="28"/>
          <w:szCs w:val="28"/>
        </w:rPr>
        <w:t>月</w:t>
      </w:r>
      <w:r>
        <w:rPr>
          <w:rFonts w:hint="eastAsia" w:ascii="仿宋_GB2312"/>
          <w:sz w:val="28"/>
          <w:szCs w:val="28"/>
          <w:lang w:val="en-US" w:eastAsia="zh-CN"/>
        </w:rPr>
        <w:t>30</w:t>
      </w:r>
      <w:bookmarkStart w:id="106" w:name="_GoBack"/>
      <w:bookmarkEnd w:id="106"/>
      <w:r>
        <w:rPr>
          <w:rFonts w:hint="eastAsia" w:ascii="仿宋_GB2312" w:eastAsia="仿宋_GB2312"/>
          <w:sz w:val="28"/>
          <w:szCs w:val="28"/>
        </w:rPr>
        <w:t>日印发</w:t>
      </w:r>
    </w:p>
    <w:sectPr>
      <w:footerReference r:id="rId9" w:type="default"/>
      <w:footerReference r:id="rId10" w:type="even"/>
      <w:pgSz w:w="11906" w:h="16838"/>
      <w:pgMar w:top="2041" w:right="1587" w:bottom="1928" w:left="1587" w:header="624" w:footer="1134" w:gutter="0"/>
      <w:pgBorders>
        <w:top w:val="none" w:sz="0" w:space="0"/>
        <w:left w:val="none" w:sz="0" w:space="0"/>
        <w:bottom w:val="none" w:sz="0" w:space="0"/>
        <w:right w:val="none" w:sz="0" w:space="0"/>
      </w:pgBorders>
      <w:pgNumType w:fmt="decimal"/>
      <w:cols w:space="0" w:num="1"/>
      <w:rtlGutter w:val="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52"/>
      </w:pPr>
      <w:r>
        <w:separator/>
      </w:r>
    </w:p>
  </w:endnote>
  <w:endnote w:type="continuationSeparator" w:id="1">
    <w:p>
      <w:pPr>
        <w:spacing w:line="240" w:lineRule="auto"/>
        <w:ind w:firstLine="55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CA6F6C21-3C6B-4B80-A935-49295FCE40CE}"/>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embedRegular r:id="rId2" w:fontKey="{CFC13566-828F-4B84-A6FE-6753AE6DE4B6}"/>
  </w:font>
  <w:font w:name="仿宋_GB2312">
    <w:panose1 w:val="02010609030101010101"/>
    <w:charset w:val="86"/>
    <w:family w:val="modern"/>
    <w:pitch w:val="default"/>
    <w:sig w:usb0="00000001" w:usb1="080E0000" w:usb2="00000000" w:usb3="00000000" w:csb0="00040000" w:csb1="00000000"/>
    <w:embedRegular r:id="rId3" w:fontKey="{554783BA-CBBF-488B-BED9-B7413A289491}"/>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embedRegular r:id="rId4" w:fontKey="{30C8AC75-B96A-4B71-93DC-4F3695F8F8C7}"/>
  </w:font>
  <w:font w:name="楷体_GB2312">
    <w:panose1 w:val="02010609030101010101"/>
    <w:charset w:val="86"/>
    <w:family w:val="auto"/>
    <w:pitch w:val="default"/>
    <w:sig w:usb0="00000001" w:usb1="080E0000" w:usb2="00000000" w:usb3="00000000" w:csb0="00040000" w:csb1="00000000"/>
    <w:embedRegular r:id="rId5" w:fontKey="{CB9BFAC3-EDAA-48E5-9E71-C13A353F22A0}"/>
  </w:font>
  <w:font w:name="方正大标宋简体">
    <w:panose1 w:val="02000000000000000000"/>
    <w:charset w:val="86"/>
    <w:family w:val="auto"/>
    <w:pitch w:val="default"/>
    <w:sig w:usb0="00000000" w:usb1="00000000" w:usb2="00000000" w:usb3="00000000" w:csb0="00000000" w:csb1="00000000"/>
    <w:embedRegular r:id="rId6" w:fontKey="{22D3B2A2-2887-4030-B06B-B6F8BAB0F73E}"/>
  </w:font>
  <w:font w:name="微软雅黑">
    <w:panose1 w:val="020B0503020204020204"/>
    <w:charset w:val="86"/>
    <w:family w:val="auto"/>
    <w:pitch w:val="default"/>
    <w:sig w:usb0="80000287" w:usb1="280F3C52" w:usb2="00000016" w:usb3="00000000" w:csb0="0004001F" w:csb1="00000000"/>
    <w:embedRegular r:id="rId7" w:fontKey="{63B63845-1340-466D-998E-82A1ED3573B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45"/>
        <w:tab w:val="clear" w:pos="4153"/>
      </w:tabs>
      <w:ind w:left="0" w:leftChars="0" w:firstLine="0" w:firstLineChars="0"/>
    </w:pPr>
    <w:r>
      <w:rPr>
        <w:sz w:val="18"/>
      </w:rP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5095875</wp:posOffset>
              </wp:positionH>
              <wp:positionV relativeFrom="paragraph">
                <wp:posOffset>12065</wp:posOffset>
              </wp:positionV>
              <wp:extent cx="1828800" cy="216535"/>
              <wp:effectExtent l="0" t="0" r="0" b="0"/>
              <wp:wrapNone/>
              <wp:docPr id="10" name="文本框 3"/>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a:effectLst/>
                    </wps:spPr>
                    <wps:txbx>
                      <w:txbxContent>
                        <w:p>
                          <w:pPr>
                            <w:ind w:left="0" w:leftChars="0" w:firstLine="0" w:firstLineChars="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401.25pt;margin-top:0.95pt;height:17.05pt;width:144pt;mso-position-horizontal-relative:margin;mso-wrap-style:none;z-index:251664384;mso-width-relative:page;mso-height-relative:page;" filled="f" stroked="f" coordsize="21600,21600" o:gfxdata="UEsDBAoAAAAAAIdO4kAAAAAAAAAAAAAAAAAEAAAAZHJzL1BLAwQUAAAACACHTuJALbIdIdcAAAAJ&#10;AQAADwAAAGRycy9kb3ducmV2LnhtbE2PwU7DMAyG70i8Q2QkbizZYNPWNZ0QErtwWgdI3LzGa6sl&#10;TtVka+HpyU5wtL9fvz/nm9FZcaE+tJ41TCcKBHHlTcu1hvf968MSRIjIBq1n0vBNATbF7U2OmfED&#10;7+hSxlqkEg4Zamhi7DIpQ9WQwzDxHXFiR987jGnsa2l6HFK5s3Km1EI6bDldaLCjl4aqU3l2Grbj&#10;z+fTW/8VbYm7av7hnuvjdtD6/m6q1iAijfEvDFf9pA5Fcjr4M5sgrIalms1TNIEViCtXK5UWBw2P&#10;CwWyyOX/D4pfUEsDBBQAAAAIAIdO4kCbwn1NOwIAAG8EAAAOAAAAZHJzL2Uyb0RvYy54bWytVM2O&#10;2jAQvlfqO1i+l/AjEEKEFV1EVQl1V6JVz8ZxiCXbY9mGhD5A+wY99dJ7n4vn6NhJ2Grbwx56CWPP&#10;+Jv5vplheddoRc7CeQkmp6PBkBJhOBTSHHP66eP2zZwSH5gpmAIjcnoRnt6tXr9a1nYhxlCBKoQj&#10;CGL8orY5rUKwiyzzvBKa+QFYYdBZgtMs4NEds8KxGtG1ysbD4SyrwRXWARfe4+2mddIO0b0EEMpS&#10;crEBftLChBbVCcUCUvKVtJ6uUrVlKXh4KEsvAlE5RaYhfTEJ2of4zVZLtjg6ZivJuxLYS0p4xkkz&#10;aTDpDWrDAiMnJ/+C0pI78FCGAQedtUSSIshiNHymzb5iViQuKLW3N9H9/4PlH86PjsgCJwElMUxj&#10;x6/fv11//Lr+/EomUZ/a+gWG7S0GhuYtNBjb33u8jLSb0un4i4QI+hHqclNXNIHw+Gg+ns+H6OLo&#10;G49m08k0wmRPr63z4Z0ATaKRU4fdS6Ky886HNrQPickMbKVSqYPKkDqns8l0mB7cPAiuTIwVaRY6&#10;mMiorTxaoTk0Hc0DFBdk6aCdE2/5VmIpO+bDI3M4GFg9rk54wE+pAFNCZ1FSgfvyr/sYj/1CLyU1&#10;DlpODe4VJeq9wT4iYOgN1xuH3jAnfQ84uSNcScuTiQ9cUL1ZOtCfcZ/WMQe6mOGYKaehN+9DO+y4&#10;j1ys1ynoZJ08Vu0DnELLws7sLY9pWlnXpwClTIpHgVpVsFPxgHOYetbtTBz0P88p6ul/YvU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bIdIdcAAAAJAQAADwAAAAAAAAABACAAAAAiAAAAZHJzL2Rv&#10;d25yZXYueG1sUEsBAhQAFAAAAAgAh07iQJvCfU07AgAAbwQAAA4AAAAAAAAAAQAgAAAAJgEAAGRy&#10;cy9lMm9Eb2MueG1sUEsFBgAAAAAGAAYAWQEAANMFAAAAAA==&#10;">
              <v:fill on="f" focussize="0,0"/>
              <v:stroke on="f" weight="0.5pt"/>
              <v:imagedata o:title=""/>
              <o:lock v:ext="edit" aspectratio="f"/>
              <v:textbox inset="0mm,0mm,0mm,0mm">
                <w:txbxContent>
                  <w:p>
                    <w:pPr>
                      <w:ind w:left="0" w:leftChars="0" w:firstLine="0" w:firstLineChars="0"/>
                      <w:rPr>
                        <w:rFonts w:hint="eastAsia"/>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left="0" w:leftChars="0" w:firstLine="0" w:firstLineChars="0"/>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Q0s04AgAAcA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gUm4okQzhY6ff3w/&#10;//x9/vWNTKI+jfVzhD1YBIb2nWkRO9x7XEbabelU/AUhAj/UPV3UFW0gPD6aTWezMVwcvuEA/Ozp&#10;uXU+vBdGkWjk1KF9SVV23PrQhQ4hMZs2m1rK1EKpSZPT66u34/Tg4gG41DFWpGHoYSKlrvRohXbX&#10;9jx3pjiBpjPdoHjLNzVK2TIf7pnDZKB87E64w6eUBilNb1FSGff1X/cxHg2Dl5IGk5ZTjcWiRH7Q&#10;aCQAw2C4wdgNhj6oW4PRnWAnLU8mHrggB7N0Rn3BQq1iDriY5siU0zCYt6GbdiwkF6tVCjpYV++r&#10;7gHG0LKw1Q+WxzRRKm9XhwBpk+JRoE4VdCoeMIipZ/3SxEn/85yinv4o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5dDSzTgCAABwBAAADgAAAAAAAAABACAAAAAfAQAAZHJzL2Uyb0RvYy54&#10;bWxQSwUGAAAAAAYABgBZAQAAyQUAAAAA&#10;">
              <v:fill on="f" focussize="0,0"/>
              <v:stroke on="f" weight="0.5pt"/>
              <v:imagedata o:title=""/>
              <o:lock v:ext="edit" aspectratio="f"/>
              <v:textbox inset="0mm,0mm,0mm,0mm" style="mso-fit-shape-to-text:t;">
                <w:txbxContent>
                  <w:p>
                    <w:pPr>
                      <w:ind w:left="0" w:leftChars="0" w:firstLine="0" w:firstLineChars="0"/>
                      <w:rPr>
                        <w:rFonts w:hint="default"/>
                        <w:lang w:val="en-US" w:eastAsia="zh-CN"/>
                      </w:rPr>
                    </w:pPr>
                  </w:p>
                </w:txbxContent>
              </v:textbox>
            </v:shape>
          </w:pict>
        </mc:Fallback>
      </mc:AlternateContent>
    </w: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pPr>
                    <w:r>
                      <w:t xml:space="preserve">— </w:t>
                    </w:r>
                    <w:r>
                      <w:fldChar w:fldCharType="begin"/>
                    </w:r>
                    <w:r>
                      <w:instrText xml:space="preserve"> PAGE  \* MERGEFORMAT </w:instrText>
                    </w:r>
                    <w:r>
                      <w:fldChar w:fldCharType="separate"/>
                    </w:r>
                    <w:r>
                      <w:t>2</w:t>
                    </w:r>
                    <w:r>
                      <w:fldChar w:fldCharType="end"/>
                    </w:r>
                    <w:r>
                      <w:t xml:space="preserve"> —</w:t>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
                        <w:sz w:val="28"/>
                        <w:szCs w:val="28"/>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right" w:pos="8845"/>
        <w:tab w:val="clear" w:pos="4153"/>
      </w:tabs>
      <w:ind w:left="0" w:leftChars="0" w:firstLine="0" w:firstLineChars="0"/>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eastAsia" w:eastAsia="仿宋_GB2312"/>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16"/>
                      <w:ind w:left="0" w:leftChars="0" w:firstLine="0" w:firstLineChars="0"/>
                      <w:rPr>
                        <w:rFonts w:hint="eastAsia" w:eastAsia="仿宋_GB2312"/>
                        <w:lang w:val="en-US" w:eastAsia="zh-CN"/>
                      </w:rPr>
                    </w:pPr>
                    <w:r>
                      <w:rPr>
                        <w:rFonts w:hint="eastAsia"/>
                        <w:lang w:val="en-US" w:eastAsia="zh-CN"/>
                      </w:rPr>
                      <w:t xml:space="preserve">— </w:t>
                    </w:r>
                    <w:r>
                      <w:rPr>
                        <w:rFonts w:hint="eastAsia"/>
                        <w:lang w:val="en-US" w:eastAsia="zh-CN"/>
                      </w:rPr>
                      <w:fldChar w:fldCharType="begin"/>
                    </w:r>
                    <w:r>
                      <w:rPr>
                        <w:rFonts w:hint="eastAsia"/>
                        <w:lang w:val="en-US" w:eastAsia="zh-CN"/>
                      </w:rPr>
                      <w:instrText xml:space="preserve"> PAGE  \* MERGEFORMAT </w:instrText>
                    </w:r>
                    <w:r>
                      <w:rPr>
                        <w:rFonts w:hint="eastAsia"/>
                        <w:lang w:val="en-US" w:eastAsia="zh-CN"/>
                      </w:rPr>
                      <w:fldChar w:fldCharType="separate"/>
                    </w:r>
                    <w:r>
                      <w:rPr>
                        <w:rFonts w:hint="eastAsia"/>
                        <w:lang w:val="en-US" w:eastAsia="zh-CN"/>
                      </w:rPr>
                      <w:t>5</w:t>
                    </w:r>
                    <w:r>
                      <w:rPr>
                        <w:rFonts w:hint="eastAsia"/>
                        <w:lang w:val="en-US" w:eastAsia="zh-CN"/>
                      </w:rPr>
                      <w:fldChar w:fldCharType="end"/>
                    </w:r>
                    <w:r>
                      <w:rPr>
                        <w:rFonts w:hint="eastAsia"/>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posOffset>5095875</wp:posOffset>
              </wp:positionH>
              <wp:positionV relativeFrom="paragraph">
                <wp:posOffset>12065</wp:posOffset>
              </wp:positionV>
              <wp:extent cx="1828800" cy="216535"/>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216535"/>
                      </a:xfrm>
                      <a:prstGeom prst="rect">
                        <a:avLst/>
                      </a:prstGeom>
                      <a:noFill/>
                      <a:ln w="6350">
                        <a:noFill/>
                      </a:ln>
                      <a:effectLst/>
                    </wps:spPr>
                    <wps:txbx>
                      <w:txbxContent>
                        <w:p>
                          <w:pPr>
                            <w:ind w:left="0" w:leftChars="0" w:firstLine="0" w:firstLineChars="0"/>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noAutofit/>
                    </wps:bodyPr>
                  </wps:wsp>
                </a:graphicData>
              </a:graphic>
            </wp:anchor>
          </w:drawing>
        </mc:Choice>
        <mc:Fallback>
          <w:pict>
            <v:shape id="文本框 3" o:spid="_x0000_s1026" o:spt="202" type="#_x0000_t202" style="position:absolute;left:0pt;margin-left:401.25pt;margin-top:0.95pt;height:17.05pt;width:144pt;mso-position-horizontal-relative:margin;mso-wrap-style:none;z-index:251661312;mso-width-relative:page;mso-height-relative:page;" filled="f" stroked="f" coordsize="21600,21600" o:gfxdata="UEsDBAoAAAAAAIdO4kAAAAAAAAAAAAAAAAAEAAAAZHJzL1BLAwQUAAAACACHTuJALbIdIdcAAAAJ&#10;AQAADwAAAGRycy9kb3ducmV2LnhtbE2PwU7DMAyG70i8Q2QkbizZYNPWNZ0QErtwWgdI3LzGa6sl&#10;TtVka+HpyU5wtL9fvz/nm9FZcaE+tJ41TCcKBHHlTcu1hvf968MSRIjIBq1n0vBNATbF7U2OmfED&#10;7+hSxlqkEg4Zamhi7DIpQ9WQwzDxHXFiR987jGnsa2l6HFK5s3Km1EI6bDldaLCjl4aqU3l2Grbj&#10;z+fTW/8VbYm7av7hnuvjdtD6/m6q1iAijfEvDFf9pA5Fcjr4M5sgrIalms1TNIEViCtXK5UWBw2P&#10;CwWyyOX/D4pfUEsDBBQAAAAIAIdO4kAumZ6PPAIAAG4EAAAOAAAAZHJzL2Uyb0RvYy54bWytVM2O&#10;2jAQvlfqO1i+l/AjEEKEFV1EVQl1V6JVz8ZxiCXbY9mGhD5A+wY99dJ7n4vn6NhJ2Grbwx56CWPP&#10;+Jv5vplheddoRc7CeQkmp6PBkBJhOBTSHHP66eP2zZwSH5gpmAIjcnoRnt6tXr9a1nYhxlCBKoQj&#10;CGL8orY5rUKwiyzzvBKa+QFYYdBZgtMs4NEds8KxGtG1ysbD4SyrwRXWARfe4+2mddIO0b0EEMpS&#10;crEBftLChBbVCcUCUvKVtJ6uUrVlKXh4KEsvAlE5RaYhfTEJ2of4zVZLtjg6ZivJuxLYS0p4xkkz&#10;aTDpDWrDAiMnJ/+C0pI78FCGAQedtUSSIshiNHymzb5iViQuKLW3N9H9/4PlH86Pjsgip2NKDNPY&#10;8Ov3b9cfv64/v5JJlKe2foFRe4txoXkLDQ5Nf+/xMrJuSqfjL/Ih6EdxLzdxRRMIj4/m4/l8iC6O&#10;vvFoNp1MI0z29No6H94J0CQaOXXYvKQpO+98aEP7kJjMwFYqlRqoDKlzOptMh+nBzYPgysRYkUah&#10;g4mM2sqjFZpD09E8QHFBlg7aMfGWbyWWsmM+PDKHc4HV4+aEB/yUCjAldBYlFbgv/7qP8dgu9FJS&#10;45zl1OBaUaLeG2wjAobecL1x6A1z0veAgzvCjbQ8mfjABdWbpQP9GddpHXOgixmOmXIaevM+tLOO&#10;68jFep2CTtbJY9U+wCG0LOzM3vKYppV1fQpQyqR4FKhVBTsVDziGqWfdysQ5//Ocop7+Jl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C2yHSHXAAAACQEAAA8AAAAAAAAAAQAgAAAAIgAAAGRycy9k&#10;b3ducmV2LnhtbFBLAQIUABQAAAAIAIdO4kAumZ6PPAIAAG4EAAAOAAAAAAAAAAEAIAAAACYBAABk&#10;cnMvZTJvRG9jLnhtbFBLBQYAAAAABgAGAFkBAADUBQAAAAA=&#10;">
              <v:fill on="f" focussize="0,0"/>
              <v:stroke on="f" weight="0.5pt"/>
              <v:imagedata o:title=""/>
              <o:lock v:ext="edit" aspectratio="f"/>
              <v:textbox inset="0mm,0mm,0mm,0mm">
                <w:txbxContent>
                  <w:p>
                    <w:pPr>
                      <w:ind w:left="0" w:leftChars="0" w:firstLine="0" w:firstLineChars="0"/>
                      <w:rPr>
                        <w:rFonts w:hint="eastAsia"/>
                        <w:lang w:eastAsia="zh-CN"/>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ind w:left="0" w:leftChars="0" w:firstLine="0" w:firstLineChars="0"/>
                            <w:rPr>
                              <w:rFonts w:hint="default"/>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yX96c4AgAAbw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SjRTaPj5x/fz&#10;z9/nX9/IJMrTWD9H1INFXGjfmRZDM9x7XEbWbelU/AUfAj/EPV3EFW0gPD6aTWezMVwcvuEA/Ozp&#10;uXU+vBdGkWjk1KF7SVR23PrQhQ4hMZs2m1rK1EGpSZPT66u34/Tg4gG41DFWpFnoYSKlrvRohXbX&#10;9jx3pjiBpjPdnHjLNzVK2TIf7pnDYKB8rE64w6eUBilNb1FSGff1X/cxHv2Cl5IGg5ZTjb2iRH7Q&#10;6CMAw2C4wdgNhj6oW4PJnWAlLU8mHrggB7N0Rn3BPq1iDriY5siU0zCYt6EbduwjF6tVCjpYV++r&#10;7gGm0LKw1Q+WxzRRKm9XhwBpk+JRoE4VdCoeMIepZ/3OxEH/85yinv4nlo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rJf3pzgCAABvBAAADgAAAAAAAAABACAAAAAfAQAAZHJzL2Uyb0RvYy54&#10;bWxQSwUGAAAAAAYABgBZAQAAyQUAAAAA&#10;">
              <v:fill on="f" focussize="0,0"/>
              <v:stroke on="f" weight="0.5pt"/>
              <v:imagedata o:title=""/>
              <o:lock v:ext="edit" aspectratio="f"/>
              <v:textbox inset="0mm,0mm,0mm,0mm" style="mso-fit-shape-to-text:t;">
                <w:txbxContent>
                  <w:p>
                    <w:pPr>
                      <w:ind w:left="0" w:leftChars="0" w:firstLine="0" w:firstLineChars="0"/>
                      <w:rPr>
                        <w:rFonts w:hint="default"/>
                        <w:lang w:val="en-US" w:eastAsia="zh-CN"/>
                      </w:rPr>
                    </w:pP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0" w:leftChars="0" w:firstLine="0" w:firstLineChars="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_GB2312"/>
                              <w:lang w:val="en-US" w:eastAsia="zh-CN"/>
                            </w:rPr>
                          </w:pPr>
                          <w:r>
                            <w:rPr>
                              <w:rFonts w:hint="default"/>
                              <w:lang w:val="en-US" w:eastAsia="zh-CN"/>
                            </w:rPr>
                            <w:t xml:space="preserve">—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6</w:t>
                          </w:r>
                          <w:r>
                            <w:rPr>
                              <w:rFonts w:hint="default"/>
                              <w:lang w:val="en-US" w:eastAsia="zh-CN"/>
                            </w:rPr>
                            <w:fldChar w:fldCharType="end"/>
                          </w:r>
                          <w:r>
                            <w:rPr>
                              <w:rFonts w:hint="default"/>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_GB2312"/>
                        <w:lang w:val="en-US" w:eastAsia="zh-CN"/>
                      </w:rPr>
                    </w:pPr>
                    <w:r>
                      <w:rPr>
                        <w:rFonts w:hint="default"/>
                        <w:lang w:val="en-US" w:eastAsia="zh-CN"/>
                      </w:rPr>
                      <w:t xml:space="preserve">— </w:t>
                    </w:r>
                    <w:r>
                      <w:rPr>
                        <w:rFonts w:hint="default"/>
                        <w:lang w:val="en-US" w:eastAsia="zh-CN"/>
                      </w:rPr>
                      <w:fldChar w:fldCharType="begin"/>
                    </w:r>
                    <w:r>
                      <w:rPr>
                        <w:rFonts w:hint="default"/>
                        <w:lang w:val="en-US" w:eastAsia="zh-CN"/>
                      </w:rPr>
                      <w:instrText xml:space="preserve"> PAGE  \* MERGEFORMAT </w:instrText>
                    </w:r>
                    <w:r>
                      <w:rPr>
                        <w:rFonts w:hint="default"/>
                        <w:lang w:val="en-US" w:eastAsia="zh-CN"/>
                      </w:rPr>
                      <w:fldChar w:fldCharType="separate"/>
                    </w:r>
                    <w:r>
                      <w:rPr>
                        <w:rFonts w:hint="default"/>
                        <w:lang w:val="en-US" w:eastAsia="zh-CN"/>
                      </w:rPr>
                      <w:t>6</w:t>
                    </w:r>
                    <w:r>
                      <w:rPr>
                        <w:rFonts w:hint="default"/>
                        <w:lang w:val="en-US" w:eastAsia="zh-CN"/>
                      </w:rPr>
                      <w:fldChar w:fldCharType="end"/>
                    </w:r>
                    <w:r>
                      <w:rPr>
                        <w:rFonts w:hint="default"/>
                        <w:lang w:val="en-US" w:eastAsia="zh-CN"/>
                      </w:rPr>
                      <w:t xml:space="preserve"> —</w:t>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ind w:left="0" w:leftChars="0" w:firstLine="0" w:firstLineChars="0"/>
                            <w:rPr>
                              <w:rFonts w:hint="default" w:eastAsia="仿宋"/>
                              <w:sz w:val="28"/>
                              <w:szCs w:val="28"/>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6"/>
                      <w:ind w:left="0" w:leftChars="0" w:firstLine="0" w:firstLineChars="0"/>
                      <w:rPr>
                        <w:rFonts w:hint="default" w:eastAsia="仿宋"/>
                        <w:sz w:val="28"/>
                        <w:szCs w:val="28"/>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52"/>
      </w:pPr>
      <w:r>
        <w:separator/>
      </w:r>
    </w:p>
  </w:footnote>
  <w:footnote w:type="continuationSeparator" w:id="1">
    <w:p>
      <w:pPr>
        <w:spacing w:line="240" w:lineRule="auto"/>
        <w:ind w:firstLine="55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18DDD4"/>
    <w:multiLevelType w:val="multilevel"/>
    <w:tmpl w:val="EB18DDD4"/>
    <w:lvl w:ilvl="0" w:tentative="0">
      <w:start w:val="1"/>
      <w:numFmt w:val="decimal"/>
      <w:pStyle w:val="3"/>
      <w:suff w:val="space"/>
      <w:lvlText w:val="%1"/>
      <w:lvlJc w:val="left"/>
      <w:pPr>
        <w:tabs>
          <w:tab w:val="left" w:pos="0"/>
        </w:tabs>
        <w:ind w:left="0" w:firstLine="0"/>
      </w:pPr>
      <w:rPr>
        <w:rFonts w:hint="default" w:ascii="Times New Roman" w:hAnsi="Times New Roman" w:eastAsia="仿宋" w:cs="Times New Roman"/>
        <w:bCs w:val="0"/>
        <w:sz w:val="32"/>
        <w:szCs w:val="32"/>
      </w:rPr>
    </w:lvl>
    <w:lvl w:ilvl="1" w:tentative="0">
      <w:start w:val="1"/>
      <w:numFmt w:val="decimal"/>
      <w:pStyle w:val="4"/>
      <w:suff w:val="space"/>
      <w:lvlText w:val="%1.%2"/>
      <w:lvlJc w:val="left"/>
      <w:pPr>
        <w:tabs>
          <w:tab w:val="left" w:pos="0"/>
        </w:tabs>
        <w:ind w:left="0" w:leftChars="0" w:firstLine="0" w:firstLineChars="0"/>
      </w:pPr>
      <w:rPr>
        <w:rFonts w:hint="default" w:ascii="Times New Roman" w:hAnsi="Times New Roman" w:eastAsia="仿宋" w:cs="Times New Roman"/>
        <w:b w:val="0"/>
        <w:bCs w:val="0"/>
        <w:sz w:val="32"/>
        <w:szCs w:val="32"/>
      </w:rPr>
    </w:lvl>
    <w:lvl w:ilvl="2" w:tentative="0">
      <w:start w:val="1"/>
      <w:numFmt w:val="decimal"/>
      <w:pStyle w:val="5"/>
      <w:suff w:val="space"/>
      <w:lvlText w:val="%1.%2.%3"/>
      <w:lvlJc w:val="left"/>
      <w:pPr>
        <w:tabs>
          <w:tab w:val="left" w:pos="0"/>
        </w:tabs>
        <w:ind w:left="0" w:firstLine="0"/>
      </w:pPr>
      <w:rPr>
        <w:rFonts w:hint="default" w:ascii="Times New Roman" w:hAnsi="Times New Roman" w:eastAsia="仿宋" w:cs="Times New Roman"/>
        <w:b w:val="0"/>
        <w:bCs w:val="0"/>
        <w:sz w:val="32"/>
        <w:szCs w:val="32"/>
      </w:rPr>
    </w:lvl>
    <w:lvl w:ilvl="3" w:tentative="0">
      <w:start w:val="1"/>
      <w:numFmt w:val="decimal"/>
      <w:pStyle w:val="6"/>
      <w:suff w:val="space"/>
      <w:lvlText w:val="%1.%2.%3.%4"/>
      <w:lvlJc w:val="left"/>
      <w:pPr>
        <w:tabs>
          <w:tab w:val="left" w:pos="0"/>
        </w:tabs>
        <w:ind w:left="0" w:leftChars="0" w:firstLine="0" w:firstLineChars="0"/>
      </w:pPr>
      <w:rPr>
        <w:rFonts w:hint="default" w:ascii="仿宋" w:hAnsi="仿宋" w:eastAsia="仿宋" w:cs="仿宋"/>
        <w:sz w:val="32"/>
        <w:szCs w:val="32"/>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iNTg4ZjYyM2Y2NmIwY2FmOGZkNDc4ZmY0MGY5ZWIifQ=="/>
  </w:docVars>
  <w:rsids>
    <w:rsidRoot w:val="00172A27"/>
    <w:rsid w:val="009D0889"/>
    <w:rsid w:val="00ED1B50"/>
    <w:rsid w:val="00F84BA0"/>
    <w:rsid w:val="01497443"/>
    <w:rsid w:val="01866164"/>
    <w:rsid w:val="01A52E37"/>
    <w:rsid w:val="01AE1E01"/>
    <w:rsid w:val="026702BA"/>
    <w:rsid w:val="02CC62B9"/>
    <w:rsid w:val="02F51BE6"/>
    <w:rsid w:val="02F63430"/>
    <w:rsid w:val="033D1BB6"/>
    <w:rsid w:val="03A84003"/>
    <w:rsid w:val="03C734BA"/>
    <w:rsid w:val="03E75A60"/>
    <w:rsid w:val="03F01C23"/>
    <w:rsid w:val="0410503C"/>
    <w:rsid w:val="0477739D"/>
    <w:rsid w:val="04E37A36"/>
    <w:rsid w:val="04EF43C3"/>
    <w:rsid w:val="0544068F"/>
    <w:rsid w:val="055325D0"/>
    <w:rsid w:val="05753B42"/>
    <w:rsid w:val="05852D46"/>
    <w:rsid w:val="05BF7504"/>
    <w:rsid w:val="05C91D5D"/>
    <w:rsid w:val="05FB0B46"/>
    <w:rsid w:val="062B29CD"/>
    <w:rsid w:val="06950D93"/>
    <w:rsid w:val="0696261C"/>
    <w:rsid w:val="077900EA"/>
    <w:rsid w:val="07B76A5D"/>
    <w:rsid w:val="07DB29DD"/>
    <w:rsid w:val="07FA6E3F"/>
    <w:rsid w:val="083640B7"/>
    <w:rsid w:val="0858713B"/>
    <w:rsid w:val="08E95E09"/>
    <w:rsid w:val="09197C88"/>
    <w:rsid w:val="092B5824"/>
    <w:rsid w:val="09405D72"/>
    <w:rsid w:val="09490FEF"/>
    <w:rsid w:val="097C66F2"/>
    <w:rsid w:val="098F43C6"/>
    <w:rsid w:val="09AA0FD6"/>
    <w:rsid w:val="09DC1191"/>
    <w:rsid w:val="0A5D3F40"/>
    <w:rsid w:val="0AD034AB"/>
    <w:rsid w:val="0B45740A"/>
    <w:rsid w:val="0C4C7E12"/>
    <w:rsid w:val="0C7020B6"/>
    <w:rsid w:val="0C8B30E9"/>
    <w:rsid w:val="0CCD775F"/>
    <w:rsid w:val="0CD667E0"/>
    <w:rsid w:val="0D0C534C"/>
    <w:rsid w:val="0DC309C6"/>
    <w:rsid w:val="0E546568"/>
    <w:rsid w:val="0E663868"/>
    <w:rsid w:val="0EF6605C"/>
    <w:rsid w:val="0EF73A15"/>
    <w:rsid w:val="0F0F11BE"/>
    <w:rsid w:val="0F16079E"/>
    <w:rsid w:val="0F337A4F"/>
    <w:rsid w:val="0F8131B8"/>
    <w:rsid w:val="10047F97"/>
    <w:rsid w:val="10F6709E"/>
    <w:rsid w:val="10F70C61"/>
    <w:rsid w:val="1157181C"/>
    <w:rsid w:val="122B6C31"/>
    <w:rsid w:val="12341018"/>
    <w:rsid w:val="123C5E8C"/>
    <w:rsid w:val="125C0BBE"/>
    <w:rsid w:val="12660C5E"/>
    <w:rsid w:val="12F9273B"/>
    <w:rsid w:val="1356385F"/>
    <w:rsid w:val="13B50586"/>
    <w:rsid w:val="13CA1B57"/>
    <w:rsid w:val="13F40D50"/>
    <w:rsid w:val="141D375F"/>
    <w:rsid w:val="14563F74"/>
    <w:rsid w:val="14676CBA"/>
    <w:rsid w:val="14AF650C"/>
    <w:rsid w:val="14C46537"/>
    <w:rsid w:val="15B46540"/>
    <w:rsid w:val="161D0664"/>
    <w:rsid w:val="165200E4"/>
    <w:rsid w:val="168959A8"/>
    <w:rsid w:val="16901988"/>
    <w:rsid w:val="16B7032C"/>
    <w:rsid w:val="16D731BC"/>
    <w:rsid w:val="175E243C"/>
    <w:rsid w:val="184800D8"/>
    <w:rsid w:val="18AC5F40"/>
    <w:rsid w:val="18B568FB"/>
    <w:rsid w:val="18BC5F92"/>
    <w:rsid w:val="18BF1201"/>
    <w:rsid w:val="19262F1F"/>
    <w:rsid w:val="1947532F"/>
    <w:rsid w:val="199857C8"/>
    <w:rsid w:val="19AF7AE4"/>
    <w:rsid w:val="19BB266E"/>
    <w:rsid w:val="19C6563E"/>
    <w:rsid w:val="19D72CA4"/>
    <w:rsid w:val="19F848C5"/>
    <w:rsid w:val="1A136006"/>
    <w:rsid w:val="1A5D45BA"/>
    <w:rsid w:val="1A705206"/>
    <w:rsid w:val="1AC3005E"/>
    <w:rsid w:val="1AFD7372"/>
    <w:rsid w:val="1AFF2AE4"/>
    <w:rsid w:val="1B1E2767"/>
    <w:rsid w:val="1BA7408D"/>
    <w:rsid w:val="1BB622A3"/>
    <w:rsid w:val="1BF66BBF"/>
    <w:rsid w:val="1C6F3B0D"/>
    <w:rsid w:val="1C8906F7"/>
    <w:rsid w:val="1CC57BF3"/>
    <w:rsid w:val="1CFA465A"/>
    <w:rsid w:val="1DB146C7"/>
    <w:rsid w:val="1DED54DC"/>
    <w:rsid w:val="1DFB1D8F"/>
    <w:rsid w:val="1DFD50C3"/>
    <w:rsid w:val="1E2C23E3"/>
    <w:rsid w:val="1EA24888"/>
    <w:rsid w:val="1EF6781C"/>
    <w:rsid w:val="1FAA1D92"/>
    <w:rsid w:val="1FCD6C57"/>
    <w:rsid w:val="1FDC6FBC"/>
    <w:rsid w:val="208B4EA6"/>
    <w:rsid w:val="211B5794"/>
    <w:rsid w:val="217F3103"/>
    <w:rsid w:val="218A7A01"/>
    <w:rsid w:val="21934C40"/>
    <w:rsid w:val="226A69DF"/>
    <w:rsid w:val="2275517D"/>
    <w:rsid w:val="22F7551C"/>
    <w:rsid w:val="23112F9B"/>
    <w:rsid w:val="237F778B"/>
    <w:rsid w:val="23AB426C"/>
    <w:rsid w:val="24003F9A"/>
    <w:rsid w:val="24536556"/>
    <w:rsid w:val="246123DC"/>
    <w:rsid w:val="24B06AAC"/>
    <w:rsid w:val="24DA1A4E"/>
    <w:rsid w:val="24FD3394"/>
    <w:rsid w:val="251946ED"/>
    <w:rsid w:val="253B541E"/>
    <w:rsid w:val="253D03DB"/>
    <w:rsid w:val="254C2C05"/>
    <w:rsid w:val="264D7309"/>
    <w:rsid w:val="266F6B49"/>
    <w:rsid w:val="269B3FF4"/>
    <w:rsid w:val="26B21D43"/>
    <w:rsid w:val="26C32A31"/>
    <w:rsid w:val="26EA374A"/>
    <w:rsid w:val="27613DCD"/>
    <w:rsid w:val="276A21EB"/>
    <w:rsid w:val="278A5961"/>
    <w:rsid w:val="27992E92"/>
    <w:rsid w:val="27AC659B"/>
    <w:rsid w:val="27CE5C62"/>
    <w:rsid w:val="28163807"/>
    <w:rsid w:val="2849456F"/>
    <w:rsid w:val="29AC5345"/>
    <w:rsid w:val="29FC3DBB"/>
    <w:rsid w:val="2A123AFF"/>
    <w:rsid w:val="2A777E4F"/>
    <w:rsid w:val="2A837F49"/>
    <w:rsid w:val="2AD174E8"/>
    <w:rsid w:val="2B2950CD"/>
    <w:rsid w:val="2B68485A"/>
    <w:rsid w:val="2B905F2A"/>
    <w:rsid w:val="2C22032B"/>
    <w:rsid w:val="2C4E27E9"/>
    <w:rsid w:val="2CAD23A4"/>
    <w:rsid w:val="2CF560B4"/>
    <w:rsid w:val="2D5A5CED"/>
    <w:rsid w:val="2D6B72D5"/>
    <w:rsid w:val="2D99705E"/>
    <w:rsid w:val="2E605140"/>
    <w:rsid w:val="2EA01905"/>
    <w:rsid w:val="2F0B63C0"/>
    <w:rsid w:val="2F561C58"/>
    <w:rsid w:val="2FC35118"/>
    <w:rsid w:val="30007B41"/>
    <w:rsid w:val="30263B99"/>
    <w:rsid w:val="30DC4F4C"/>
    <w:rsid w:val="30FE6AC5"/>
    <w:rsid w:val="310B443D"/>
    <w:rsid w:val="312C26CD"/>
    <w:rsid w:val="316D4A52"/>
    <w:rsid w:val="32A23CCC"/>
    <w:rsid w:val="32CA6CA1"/>
    <w:rsid w:val="32CE4250"/>
    <w:rsid w:val="331F5238"/>
    <w:rsid w:val="33AE5BF7"/>
    <w:rsid w:val="341C313F"/>
    <w:rsid w:val="34535EBB"/>
    <w:rsid w:val="34545741"/>
    <w:rsid w:val="34784F8C"/>
    <w:rsid w:val="34A855CD"/>
    <w:rsid w:val="35204DC1"/>
    <w:rsid w:val="35352FE9"/>
    <w:rsid w:val="35BA0FAC"/>
    <w:rsid w:val="35C00993"/>
    <w:rsid w:val="360137B6"/>
    <w:rsid w:val="36AF033E"/>
    <w:rsid w:val="3786679F"/>
    <w:rsid w:val="37FC6AF5"/>
    <w:rsid w:val="38376F0C"/>
    <w:rsid w:val="386D6CF3"/>
    <w:rsid w:val="38765C86"/>
    <w:rsid w:val="388260A1"/>
    <w:rsid w:val="389434AF"/>
    <w:rsid w:val="38BA1447"/>
    <w:rsid w:val="38D2055F"/>
    <w:rsid w:val="39912BB2"/>
    <w:rsid w:val="3A7B17BF"/>
    <w:rsid w:val="3AE760B0"/>
    <w:rsid w:val="3AF52351"/>
    <w:rsid w:val="3B1155BA"/>
    <w:rsid w:val="3B2E2CA7"/>
    <w:rsid w:val="3B697071"/>
    <w:rsid w:val="3BA13DCE"/>
    <w:rsid w:val="3BCA7556"/>
    <w:rsid w:val="3BF84F4C"/>
    <w:rsid w:val="3C4677CD"/>
    <w:rsid w:val="3D540160"/>
    <w:rsid w:val="3DD87E61"/>
    <w:rsid w:val="3DE45B0D"/>
    <w:rsid w:val="3EFB5E38"/>
    <w:rsid w:val="3F3F25D2"/>
    <w:rsid w:val="3F40168F"/>
    <w:rsid w:val="4040582E"/>
    <w:rsid w:val="40ED6D01"/>
    <w:rsid w:val="41245429"/>
    <w:rsid w:val="41315C6F"/>
    <w:rsid w:val="4152746E"/>
    <w:rsid w:val="41DC5938"/>
    <w:rsid w:val="41EB049F"/>
    <w:rsid w:val="41FF40B0"/>
    <w:rsid w:val="422B6E04"/>
    <w:rsid w:val="4243329F"/>
    <w:rsid w:val="42D35CD5"/>
    <w:rsid w:val="42EB23BE"/>
    <w:rsid w:val="430D64E3"/>
    <w:rsid w:val="43DA7186"/>
    <w:rsid w:val="44510D31"/>
    <w:rsid w:val="454802DE"/>
    <w:rsid w:val="45780BBC"/>
    <w:rsid w:val="45B864D2"/>
    <w:rsid w:val="45C54794"/>
    <w:rsid w:val="45F03E8E"/>
    <w:rsid w:val="461B4055"/>
    <w:rsid w:val="46D95757"/>
    <w:rsid w:val="47CA6CD1"/>
    <w:rsid w:val="47E42AA7"/>
    <w:rsid w:val="47E74302"/>
    <w:rsid w:val="481B422A"/>
    <w:rsid w:val="481E7986"/>
    <w:rsid w:val="48253225"/>
    <w:rsid w:val="48A44B81"/>
    <w:rsid w:val="492375BC"/>
    <w:rsid w:val="497A4422"/>
    <w:rsid w:val="49A24972"/>
    <w:rsid w:val="4A083129"/>
    <w:rsid w:val="4A5E5ECC"/>
    <w:rsid w:val="4A614BF5"/>
    <w:rsid w:val="4A8741CA"/>
    <w:rsid w:val="4B4439C2"/>
    <w:rsid w:val="4B4F403A"/>
    <w:rsid w:val="4B8B7843"/>
    <w:rsid w:val="4BB438E1"/>
    <w:rsid w:val="4BD716E8"/>
    <w:rsid w:val="4BDD2023"/>
    <w:rsid w:val="4BE478F9"/>
    <w:rsid w:val="4C054D61"/>
    <w:rsid w:val="4C141988"/>
    <w:rsid w:val="4C28076C"/>
    <w:rsid w:val="4C4E439B"/>
    <w:rsid w:val="4D203FBB"/>
    <w:rsid w:val="4D604A24"/>
    <w:rsid w:val="4DBB4C8A"/>
    <w:rsid w:val="4DD50664"/>
    <w:rsid w:val="4EC571A3"/>
    <w:rsid w:val="4F7801E4"/>
    <w:rsid w:val="4FBF7ABB"/>
    <w:rsid w:val="4FF754A7"/>
    <w:rsid w:val="4FF9121F"/>
    <w:rsid w:val="500F388E"/>
    <w:rsid w:val="504229B1"/>
    <w:rsid w:val="50B213CE"/>
    <w:rsid w:val="50B52845"/>
    <w:rsid w:val="51377219"/>
    <w:rsid w:val="51626516"/>
    <w:rsid w:val="519549F8"/>
    <w:rsid w:val="51AE6039"/>
    <w:rsid w:val="51DE0148"/>
    <w:rsid w:val="52443E62"/>
    <w:rsid w:val="526A01B2"/>
    <w:rsid w:val="52AA4A52"/>
    <w:rsid w:val="5324645C"/>
    <w:rsid w:val="541F3870"/>
    <w:rsid w:val="54581F03"/>
    <w:rsid w:val="54782FBD"/>
    <w:rsid w:val="54C90792"/>
    <w:rsid w:val="54CD5E40"/>
    <w:rsid w:val="550003BB"/>
    <w:rsid w:val="55102B51"/>
    <w:rsid w:val="551B2BA1"/>
    <w:rsid w:val="557F7417"/>
    <w:rsid w:val="55C36443"/>
    <w:rsid w:val="55E15ECE"/>
    <w:rsid w:val="5624337B"/>
    <w:rsid w:val="569967F2"/>
    <w:rsid w:val="57340913"/>
    <w:rsid w:val="574D1804"/>
    <w:rsid w:val="57727C8C"/>
    <w:rsid w:val="589D423E"/>
    <w:rsid w:val="58B73A25"/>
    <w:rsid w:val="58D4078C"/>
    <w:rsid w:val="590F7ABB"/>
    <w:rsid w:val="591D181B"/>
    <w:rsid w:val="592F1D82"/>
    <w:rsid w:val="59847069"/>
    <w:rsid w:val="59AC10B0"/>
    <w:rsid w:val="59C609FF"/>
    <w:rsid w:val="59C84251"/>
    <w:rsid w:val="5A7763AB"/>
    <w:rsid w:val="5AB521E6"/>
    <w:rsid w:val="5AF74B3A"/>
    <w:rsid w:val="5BEF3024"/>
    <w:rsid w:val="5C204FC8"/>
    <w:rsid w:val="5C734A4A"/>
    <w:rsid w:val="5C7E61EB"/>
    <w:rsid w:val="5C8C11A8"/>
    <w:rsid w:val="5CF44E1D"/>
    <w:rsid w:val="5CFA6C6E"/>
    <w:rsid w:val="5CFD18A7"/>
    <w:rsid w:val="5D216FDE"/>
    <w:rsid w:val="5D8440F2"/>
    <w:rsid w:val="5F342472"/>
    <w:rsid w:val="5F636826"/>
    <w:rsid w:val="60C473C9"/>
    <w:rsid w:val="60DB4E34"/>
    <w:rsid w:val="60F6502B"/>
    <w:rsid w:val="612B0641"/>
    <w:rsid w:val="61A11716"/>
    <w:rsid w:val="62474F3D"/>
    <w:rsid w:val="629F4942"/>
    <w:rsid w:val="62B429A0"/>
    <w:rsid w:val="63E101BE"/>
    <w:rsid w:val="64303A7B"/>
    <w:rsid w:val="64AB5E73"/>
    <w:rsid w:val="653517E0"/>
    <w:rsid w:val="653C7DFF"/>
    <w:rsid w:val="657D3F5A"/>
    <w:rsid w:val="65CE6CE4"/>
    <w:rsid w:val="65E1187F"/>
    <w:rsid w:val="66410B68"/>
    <w:rsid w:val="66475F7E"/>
    <w:rsid w:val="664A339C"/>
    <w:rsid w:val="66517497"/>
    <w:rsid w:val="66530E89"/>
    <w:rsid w:val="665A6F79"/>
    <w:rsid w:val="666D3936"/>
    <w:rsid w:val="67005260"/>
    <w:rsid w:val="674C009D"/>
    <w:rsid w:val="678D097C"/>
    <w:rsid w:val="67B01A8C"/>
    <w:rsid w:val="682628EA"/>
    <w:rsid w:val="68812DA4"/>
    <w:rsid w:val="68A6520E"/>
    <w:rsid w:val="68D57B25"/>
    <w:rsid w:val="68F3074C"/>
    <w:rsid w:val="6985191D"/>
    <w:rsid w:val="69A322AF"/>
    <w:rsid w:val="69B03915"/>
    <w:rsid w:val="6A241FFF"/>
    <w:rsid w:val="6A3B229A"/>
    <w:rsid w:val="6B0F54B0"/>
    <w:rsid w:val="6B4F2C4C"/>
    <w:rsid w:val="6BA7016C"/>
    <w:rsid w:val="6BD74614"/>
    <w:rsid w:val="6CB32149"/>
    <w:rsid w:val="6CFF753A"/>
    <w:rsid w:val="6D417F07"/>
    <w:rsid w:val="6DC051DF"/>
    <w:rsid w:val="6DCA3DA3"/>
    <w:rsid w:val="6E1509C0"/>
    <w:rsid w:val="6E331948"/>
    <w:rsid w:val="6E604C47"/>
    <w:rsid w:val="6E800819"/>
    <w:rsid w:val="6EB717A0"/>
    <w:rsid w:val="6EC37D8F"/>
    <w:rsid w:val="6EDB7343"/>
    <w:rsid w:val="6F51705B"/>
    <w:rsid w:val="6F753493"/>
    <w:rsid w:val="70421692"/>
    <w:rsid w:val="70DB521B"/>
    <w:rsid w:val="711C6362"/>
    <w:rsid w:val="718C1D79"/>
    <w:rsid w:val="71AD37BF"/>
    <w:rsid w:val="72111B81"/>
    <w:rsid w:val="7217483A"/>
    <w:rsid w:val="72AE2AD0"/>
    <w:rsid w:val="72BE4483"/>
    <w:rsid w:val="736413D2"/>
    <w:rsid w:val="73B250BD"/>
    <w:rsid w:val="73BD37AB"/>
    <w:rsid w:val="7459007D"/>
    <w:rsid w:val="7497786E"/>
    <w:rsid w:val="75334EED"/>
    <w:rsid w:val="75507E27"/>
    <w:rsid w:val="755C68BB"/>
    <w:rsid w:val="75BC37EB"/>
    <w:rsid w:val="7663504F"/>
    <w:rsid w:val="77051BA2"/>
    <w:rsid w:val="77282600"/>
    <w:rsid w:val="77CD43F6"/>
    <w:rsid w:val="77F161B4"/>
    <w:rsid w:val="78474E12"/>
    <w:rsid w:val="78680876"/>
    <w:rsid w:val="786D2FEC"/>
    <w:rsid w:val="78CF59C7"/>
    <w:rsid w:val="794701E6"/>
    <w:rsid w:val="79F109E5"/>
    <w:rsid w:val="7A102102"/>
    <w:rsid w:val="7B532510"/>
    <w:rsid w:val="7B815C10"/>
    <w:rsid w:val="7BB11164"/>
    <w:rsid w:val="7C9832F7"/>
    <w:rsid w:val="7D46302F"/>
    <w:rsid w:val="7D9F4FAC"/>
    <w:rsid w:val="7D9F66B2"/>
    <w:rsid w:val="7DD95FFC"/>
    <w:rsid w:val="7DE90F31"/>
    <w:rsid w:val="7DFD1F11"/>
    <w:rsid w:val="7E300197"/>
    <w:rsid w:val="7EDD085E"/>
    <w:rsid w:val="7F2D59CF"/>
    <w:rsid w:val="7F570545"/>
    <w:rsid w:val="7F5A02BC"/>
    <w:rsid w:val="7F80710C"/>
    <w:rsid w:val="7F8B2543"/>
    <w:rsid w:val="7FF530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snapToGrid/>
      <w:spacing w:line="240" w:lineRule="auto"/>
      <w:ind w:firstLine="723" w:firstLineChars="200"/>
      <w:jc w:val="both"/>
    </w:pPr>
    <w:rPr>
      <w:rFonts w:ascii="仿宋" w:hAnsi="仿宋" w:eastAsia="仿宋_GB2312" w:cs="仿宋"/>
      <w:kern w:val="2"/>
      <w:sz w:val="28"/>
      <w:szCs w:val="32"/>
      <w:lang w:val="en-US" w:eastAsia="zh-CN" w:bidi="ar-SA"/>
    </w:rPr>
  </w:style>
  <w:style w:type="paragraph" w:styleId="3">
    <w:name w:val="heading 1"/>
    <w:basedOn w:val="1"/>
    <w:next w:val="1"/>
    <w:link w:val="26"/>
    <w:qFormat/>
    <w:uiPriority w:val="0"/>
    <w:pPr>
      <w:keepNext/>
      <w:keepLines/>
      <w:numPr>
        <w:ilvl w:val="0"/>
        <w:numId w:val="1"/>
      </w:numPr>
      <w:tabs>
        <w:tab w:val="left" w:pos="420"/>
        <w:tab w:val="clear" w:pos="0"/>
      </w:tabs>
      <w:spacing w:line="240" w:lineRule="auto"/>
      <w:ind w:left="0" w:firstLine="632" w:firstLineChars="200"/>
      <w:jc w:val="left"/>
      <w:outlineLvl w:val="0"/>
    </w:pPr>
    <w:rPr>
      <w:rFonts w:eastAsia="黑体"/>
      <w:b/>
      <w:kern w:val="44"/>
    </w:rPr>
  </w:style>
  <w:style w:type="paragraph" w:styleId="4">
    <w:name w:val="heading 2"/>
    <w:basedOn w:val="3"/>
    <w:next w:val="1"/>
    <w:link w:val="27"/>
    <w:unhideWhenUsed/>
    <w:qFormat/>
    <w:uiPriority w:val="0"/>
    <w:pPr>
      <w:keepNext/>
      <w:numPr>
        <w:ilvl w:val="1"/>
        <w:numId w:val="1"/>
      </w:numPr>
      <w:tabs>
        <w:tab w:val="clear" w:pos="0"/>
      </w:tabs>
      <w:adjustRightInd/>
      <w:snapToGrid/>
      <w:spacing w:line="240" w:lineRule="auto"/>
      <w:ind w:left="0" w:firstLine="632" w:firstLineChars="200"/>
      <w:jc w:val="left"/>
      <w:outlineLvl w:val="1"/>
    </w:pPr>
    <w:rPr>
      <w:rFonts w:ascii="楷体" w:hAnsi="楷体" w:eastAsia="楷体" w:cs="楷体"/>
    </w:rPr>
  </w:style>
  <w:style w:type="paragraph" w:styleId="5">
    <w:name w:val="heading 3"/>
    <w:basedOn w:val="1"/>
    <w:next w:val="1"/>
    <w:link w:val="29"/>
    <w:unhideWhenUsed/>
    <w:qFormat/>
    <w:uiPriority w:val="0"/>
    <w:pPr>
      <w:keepNext/>
      <w:keepLines/>
      <w:widowControl/>
      <w:numPr>
        <w:ilvl w:val="2"/>
        <w:numId w:val="1"/>
      </w:numPr>
      <w:tabs>
        <w:tab w:val="left" w:pos="420"/>
        <w:tab w:val="clear" w:pos="0"/>
      </w:tabs>
      <w:adjustRightInd/>
      <w:snapToGrid/>
      <w:spacing w:line="240" w:lineRule="auto"/>
      <w:ind w:left="0" w:leftChars="0" w:firstLine="632" w:firstLineChars="200"/>
      <w:jc w:val="left"/>
      <w:outlineLvl w:val="2"/>
    </w:pPr>
    <w:rPr>
      <w:b/>
      <w:spacing w:val="6"/>
      <w:kern w:val="0"/>
    </w:rPr>
  </w:style>
  <w:style w:type="paragraph" w:styleId="6">
    <w:name w:val="heading 4"/>
    <w:basedOn w:val="1"/>
    <w:next w:val="1"/>
    <w:link w:val="44"/>
    <w:unhideWhenUsed/>
    <w:qFormat/>
    <w:uiPriority w:val="0"/>
    <w:pPr>
      <w:keepNext/>
      <w:keepLines/>
      <w:numPr>
        <w:ilvl w:val="3"/>
        <w:numId w:val="1"/>
      </w:numPr>
      <w:spacing w:beforeLines="0" w:beforeAutospacing="0" w:afterLines="0" w:afterAutospacing="0" w:line="240" w:lineRule="auto"/>
      <w:ind w:left="0" w:firstLine="632" w:firstLineChars="200"/>
      <w:jc w:val="left"/>
      <w:outlineLvl w:val="3"/>
    </w:pPr>
    <w:rPr>
      <w:b/>
    </w:rPr>
  </w:style>
  <w:style w:type="paragraph" w:styleId="7">
    <w:name w:val="heading 5"/>
    <w:basedOn w:val="1"/>
    <w:next w:val="1"/>
    <w:unhideWhenUsed/>
    <w:qFormat/>
    <w:uiPriority w:val="0"/>
    <w:pPr>
      <w:keepNext/>
      <w:keepLines/>
      <w:numPr>
        <w:ilvl w:val="4"/>
        <w:numId w:val="1"/>
      </w:numPr>
      <w:spacing w:before="280" w:beforeLines="0" w:beforeAutospacing="0" w:after="290" w:afterLines="0" w:afterAutospacing="0" w:line="372" w:lineRule="auto"/>
      <w:ind w:left="1008" w:hanging="1008" w:firstLineChars="0"/>
      <w:outlineLvl w:val="4"/>
    </w:pPr>
    <w:rPr>
      <w:b/>
      <w:sz w:val="28"/>
    </w:rPr>
  </w:style>
  <w:style w:type="paragraph" w:styleId="8">
    <w:name w:val="heading 6"/>
    <w:basedOn w:val="1"/>
    <w:next w:val="1"/>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9">
    <w:name w:val="heading 7"/>
    <w:basedOn w:val="1"/>
    <w:next w:val="1"/>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10">
    <w:name w:val="heading 8"/>
    <w:basedOn w:val="1"/>
    <w:next w:val="1"/>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1">
    <w:name w:val="heading 9"/>
    <w:basedOn w:val="1"/>
    <w:next w:val="1"/>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jc w:val="center"/>
      <w:outlineLvl w:val="0"/>
    </w:pPr>
    <w:rPr>
      <w:rFonts w:ascii="Arial" w:hAnsi="Arial"/>
      <w:b/>
      <w:bCs/>
      <w:sz w:val="32"/>
      <w:szCs w:val="32"/>
    </w:rPr>
  </w:style>
  <w:style w:type="paragraph" w:styleId="12">
    <w:name w:val="Normal Indent"/>
    <w:basedOn w:val="1"/>
    <w:qFormat/>
    <w:uiPriority w:val="0"/>
    <w:pPr>
      <w:ind w:firstLine="420" w:firstLineChars="200"/>
    </w:pPr>
  </w:style>
  <w:style w:type="paragraph" w:styleId="13">
    <w:name w:val="annotation text"/>
    <w:basedOn w:val="1"/>
    <w:qFormat/>
    <w:uiPriority w:val="0"/>
    <w:pPr>
      <w:jc w:val="left"/>
    </w:pPr>
  </w:style>
  <w:style w:type="paragraph" w:styleId="14">
    <w:name w:val="Body Text"/>
    <w:basedOn w:val="1"/>
    <w:next w:val="1"/>
    <w:qFormat/>
    <w:uiPriority w:val="1"/>
    <w:pPr>
      <w:ind w:left="226"/>
    </w:pPr>
    <w:rPr>
      <w:rFonts w:ascii="仿宋" w:hAnsi="仿宋" w:eastAsia="仿宋" w:cs="仿宋"/>
      <w:sz w:val="32"/>
      <w:szCs w:val="32"/>
      <w:lang w:val="zh-CN" w:eastAsia="zh-CN" w:bidi="zh-CN"/>
    </w:rPr>
  </w:style>
  <w:style w:type="paragraph" w:styleId="15">
    <w:name w:val="Body Text Indent 2"/>
    <w:basedOn w:val="1"/>
    <w:unhideWhenUsed/>
    <w:qFormat/>
    <w:uiPriority w:val="99"/>
    <w:pPr>
      <w:spacing w:after="120" w:afterLines="0" w:afterAutospacing="0" w:line="480" w:lineRule="auto"/>
      <w:ind w:left="420" w:leftChars="200"/>
    </w:pPr>
  </w:style>
  <w:style w:type="paragraph" w:styleId="16">
    <w:name w:val="footer"/>
    <w:basedOn w:val="1"/>
    <w:qFormat/>
    <w:uiPriority w:val="0"/>
    <w:pPr>
      <w:tabs>
        <w:tab w:val="center" w:pos="4153"/>
        <w:tab w:val="right" w:pos="8306"/>
      </w:tabs>
      <w:snapToGrid w:val="0"/>
      <w:jc w:val="left"/>
    </w:pPr>
    <w:rPr>
      <w:sz w:val="2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qFormat/>
    <w:uiPriority w:val="0"/>
    <w:pPr>
      <w:ind w:firstLine="0" w:firstLineChars="0"/>
    </w:pPr>
    <w:rPr>
      <w:b/>
    </w:rPr>
  </w:style>
  <w:style w:type="paragraph" w:styleId="19">
    <w:name w:val="toc 2"/>
    <w:basedOn w:val="1"/>
    <w:next w:val="1"/>
    <w:qFormat/>
    <w:uiPriority w:val="0"/>
    <w:pPr>
      <w:snapToGrid w:val="0"/>
      <w:spacing w:line="480" w:lineRule="exact"/>
      <w:ind w:left="0" w:leftChars="0"/>
    </w:pPr>
  </w:style>
  <w:style w:type="paragraph" w:styleId="20">
    <w:name w:val="Normal (Web)"/>
    <w:basedOn w:val="1"/>
    <w:qFormat/>
    <w:uiPriority w:val="0"/>
    <w:pPr>
      <w:spacing w:before="0" w:beforeAutospacing="1" w:after="0" w:afterAutospacing="1"/>
      <w:ind w:left="0" w:right="0"/>
      <w:jc w:val="left"/>
    </w:pPr>
    <w:rPr>
      <w:kern w:val="0"/>
      <w:sz w:val="24"/>
      <w:lang w:val="en-US" w:eastAsia="zh-CN" w:bidi="ar"/>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rPr>
  </w:style>
  <w:style w:type="character" w:styleId="25">
    <w:name w:val="page number"/>
    <w:basedOn w:val="23"/>
    <w:qFormat/>
    <w:uiPriority w:val="0"/>
  </w:style>
  <w:style w:type="character" w:customStyle="1" w:styleId="26">
    <w:name w:val="标题 1 Char"/>
    <w:link w:val="3"/>
    <w:qFormat/>
    <w:uiPriority w:val="0"/>
    <w:rPr>
      <w:rFonts w:ascii="仿宋" w:hAnsi="仿宋" w:eastAsia="黑体" w:cs="仿宋"/>
      <w:b/>
      <w:kern w:val="44"/>
      <w:sz w:val="28"/>
      <w:szCs w:val="28"/>
    </w:rPr>
  </w:style>
  <w:style w:type="character" w:customStyle="1" w:styleId="27">
    <w:name w:val="标题 2 Char1"/>
    <w:link w:val="4"/>
    <w:qFormat/>
    <w:uiPriority w:val="0"/>
    <w:rPr>
      <w:rFonts w:ascii="楷体" w:hAnsi="楷体" w:eastAsia="楷体" w:cs="楷体"/>
      <w:b/>
      <w:szCs w:val="28"/>
    </w:rPr>
  </w:style>
  <w:style w:type="paragraph" w:customStyle="1" w:styleId="28">
    <w:name w:val="WW-Default"/>
    <w:qFormat/>
    <w:uiPriority w:val="0"/>
    <w:pPr>
      <w:widowControl w:val="0"/>
      <w:suppressAutoHyphens/>
      <w:autoSpaceDE w:val="0"/>
    </w:pPr>
    <w:rPr>
      <w:rFonts w:ascii="Calibri" w:hAnsi="Calibri" w:eastAsia="宋体" w:cs="Times New Roman"/>
      <w:color w:val="000000"/>
      <w:sz w:val="24"/>
      <w:szCs w:val="24"/>
      <w:lang w:val="en-US" w:eastAsia="zh-CN" w:bidi="ar-SA"/>
    </w:rPr>
  </w:style>
  <w:style w:type="character" w:customStyle="1" w:styleId="29">
    <w:name w:val="标题 3 Char"/>
    <w:link w:val="5"/>
    <w:qFormat/>
    <w:uiPriority w:val="0"/>
    <w:rPr>
      <w:rFonts w:eastAsia="仿宋"/>
      <w:b/>
      <w:spacing w:val="6"/>
      <w:kern w:val="0"/>
      <w:szCs w:val="28"/>
    </w:rPr>
  </w:style>
  <w:style w:type="paragraph" w:customStyle="1" w:styleId="30">
    <w:name w:val="封面标题"/>
    <w:basedOn w:val="1"/>
    <w:qFormat/>
    <w:uiPriority w:val="0"/>
    <w:pPr>
      <w:snapToGrid w:val="0"/>
      <w:spacing w:line="240" w:lineRule="auto"/>
      <w:ind w:firstLine="0" w:firstLineChars="0"/>
      <w:jc w:val="center"/>
    </w:pPr>
    <w:rPr>
      <w:rFonts w:eastAsia="方正小标宋简体"/>
      <w:b/>
      <w:sz w:val="44"/>
    </w:rPr>
  </w:style>
  <w:style w:type="paragraph" w:customStyle="1" w:styleId="31">
    <w:name w:val="WPSOffice手动目录 2"/>
    <w:qFormat/>
    <w:uiPriority w:val="0"/>
    <w:pPr>
      <w:ind w:leftChars="200"/>
    </w:pPr>
    <w:rPr>
      <w:rFonts w:ascii="Times New Roman" w:hAnsi="Times New Roman" w:eastAsia="宋体" w:cs="Times New Roman"/>
      <w:sz w:val="20"/>
      <w:szCs w:val="20"/>
    </w:rPr>
  </w:style>
  <w:style w:type="paragraph" w:customStyle="1" w:styleId="32">
    <w:name w:val="WPSOffice手动目录 1"/>
    <w:qFormat/>
    <w:uiPriority w:val="0"/>
    <w:pPr>
      <w:ind w:leftChars="0"/>
    </w:pPr>
    <w:rPr>
      <w:rFonts w:ascii="Times New Roman" w:hAnsi="Times New Roman" w:eastAsia="宋体" w:cs="Times New Roman"/>
      <w:sz w:val="20"/>
      <w:szCs w:val="20"/>
    </w:rPr>
  </w:style>
  <w:style w:type="paragraph" w:customStyle="1" w:styleId="33">
    <w:name w:val="样式 标题 1 + 首行缩进:  2 字符"/>
    <w:basedOn w:val="3"/>
    <w:qFormat/>
    <w:uiPriority w:val="0"/>
    <w:pPr>
      <w:tabs>
        <w:tab w:val="left" w:pos="0"/>
        <w:tab w:val="clear" w:pos="420"/>
      </w:tabs>
      <w:spacing w:line="240" w:lineRule="auto"/>
      <w:ind w:firstLine="200" w:firstLineChars="200"/>
      <w:jc w:val="center"/>
    </w:pPr>
    <w:rPr>
      <w:rFonts w:eastAsia="黑体" w:cs="宋体"/>
      <w:sz w:val="30"/>
      <w:szCs w:val="20"/>
    </w:rPr>
  </w:style>
  <w:style w:type="paragraph" w:styleId="34">
    <w:name w:val="List Paragraph"/>
    <w:basedOn w:val="1"/>
    <w:qFormat/>
    <w:uiPriority w:val="1"/>
    <w:pPr>
      <w:ind w:left="226" w:firstLine="633"/>
    </w:pPr>
    <w:rPr>
      <w:rFonts w:ascii="仿宋" w:hAnsi="仿宋" w:eastAsia="仿宋" w:cs="仿宋"/>
      <w:lang w:val="zh-CN" w:eastAsia="zh-CN" w:bidi="zh-CN"/>
    </w:rPr>
  </w:style>
  <w:style w:type="table" w:customStyle="1" w:styleId="35">
    <w:name w:val="Table Normal"/>
    <w:semiHidden/>
    <w:unhideWhenUsed/>
    <w:qFormat/>
    <w:uiPriority w:val="0"/>
    <w:tblPr>
      <w:tblCellMar>
        <w:top w:w="0" w:type="dxa"/>
        <w:left w:w="0" w:type="dxa"/>
        <w:bottom w:w="0" w:type="dxa"/>
        <w:right w:w="0" w:type="dxa"/>
      </w:tblCellMar>
    </w:tblPr>
  </w:style>
  <w:style w:type="paragraph" w:customStyle="1" w:styleId="36">
    <w:name w:val="Body text|1"/>
    <w:basedOn w:val="1"/>
    <w:link w:val="40"/>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37">
    <w:name w:val="Body text|3"/>
    <w:basedOn w:val="1"/>
    <w:qFormat/>
    <w:uiPriority w:val="0"/>
    <w:pPr>
      <w:widowControl w:val="0"/>
      <w:shd w:val="clear" w:color="auto" w:fill="auto"/>
      <w:spacing w:after="130" w:line="422" w:lineRule="auto"/>
    </w:pPr>
    <w:rPr>
      <w:sz w:val="28"/>
      <w:szCs w:val="28"/>
      <w:u w:val="none"/>
      <w:shd w:val="clear" w:color="auto" w:fill="auto"/>
      <w:lang w:val="zh-TW" w:eastAsia="zh-TW" w:bidi="zh-TW"/>
    </w:rPr>
  </w:style>
  <w:style w:type="paragraph" w:customStyle="1" w:styleId="38">
    <w:name w:val="Body text|2"/>
    <w:basedOn w:val="1"/>
    <w:qFormat/>
    <w:uiPriority w:val="0"/>
    <w:pPr>
      <w:widowControl w:val="0"/>
      <w:shd w:val="clear" w:color="auto" w:fill="auto"/>
      <w:spacing w:line="367" w:lineRule="auto"/>
      <w:ind w:firstLine="760"/>
    </w:pPr>
    <w:rPr>
      <w:sz w:val="32"/>
      <w:szCs w:val="32"/>
      <w:u w:val="none"/>
      <w:shd w:val="clear" w:color="auto" w:fill="auto"/>
      <w:lang w:val="zh-TW" w:eastAsia="zh-TW" w:bidi="zh-TW"/>
    </w:rPr>
  </w:style>
  <w:style w:type="paragraph" w:customStyle="1" w:styleId="39">
    <w:name w:val="Header or footer|1"/>
    <w:basedOn w:val="1"/>
    <w:qFormat/>
    <w:uiPriority w:val="0"/>
    <w:pPr>
      <w:widowControl w:val="0"/>
      <w:shd w:val="clear" w:color="auto" w:fill="auto"/>
      <w:spacing w:line="334" w:lineRule="auto"/>
      <w:ind w:left="-10"/>
      <w:jc w:val="center"/>
    </w:pPr>
    <w:rPr>
      <w:sz w:val="28"/>
      <w:szCs w:val="28"/>
      <w:u w:val="none"/>
      <w:shd w:val="clear" w:color="auto" w:fill="auto"/>
      <w:lang w:val="zh-TW" w:eastAsia="zh-TW" w:bidi="zh-TW"/>
    </w:rPr>
  </w:style>
  <w:style w:type="character" w:customStyle="1" w:styleId="40">
    <w:name w:val="Body text|1_"/>
    <w:basedOn w:val="23"/>
    <w:link w:val="36"/>
    <w:qFormat/>
    <w:uiPriority w:val="0"/>
    <w:rPr>
      <w:rFonts w:ascii="宋体" w:hAnsi="宋体" w:eastAsia="宋体" w:cs="宋体"/>
      <w:sz w:val="30"/>
      <w:szCs w:val="30"/>
      <w:u w:val="none"/>
      <w:shd w:val="clear" w:color="auto" w:fill="auto"/>
      <w:lang w:val="zh-TW" w:eastAsia="zh-TW" w:bidi="zh-TW"/>
    </w:rPr>
  </w:style>
  <w:style w:type="paragraph" w:customStyle="1" w:styleId="41">
    <w:name w:val="Other|2"/>
    <w:basedOn w:val="1"/>
    <w:qFormat/>
    <w:uiPriority w:val="0"/>
    <w:pPr>
      <w:widowControl w:val="0"/>
      <w:shd w:val="clear" w:color="auto" w:fill="auto"/>
      <w:spacing w:line="364" w:lineRule="exact"/>
      <w:jc w:val="center"/>
    </w:pPr>
    <w:rPr>
      <w:rFonts w:ascii="宋体" w:hAnsi="宋体" w:eastAsia="宋体" w:cs="宋体"/>
      <w:sz w:val="18"/>
      <w:szCs w:val="18"/>
      <w:u w:val="none"/>
      <w:shd w:val="clear" w:color="auto" w:fill="auto"/>
      <w:lang w:val="zh-TW" w:eastAsia="zh-TW" w:bidi="zh-TW"/>
    </w:rPr>
  </w:style>
  <w:style w:type="paragraph" w:customStyle="1" w:styleId="42">
    <w:name w:val="Other|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43">
    <w:name w:val="4正文"/>
    <w:basedOn w:val="1"/>
    <w:qFormat/>
    <w:uiPriority w:val="0"/>
    <w:pPr>
      <w:adjustRightInd w:val="0"/>
      <w:spacing w:beforeLines="50" w:afterLines="50" w:line="400" w:lineRule="atLeast"/>
      <w:ind w:firstLine="200" w:firstLineChars="200"/>
      <w:textAlignment w:val="baseline"/>
    </w:pPr>
    <w:rPr>
      <w:rFonts w:ascii="宋体" w:hAnsi="宋体"/>
      <w:sz w:val="24"/>
      <w:szCs w:val="24"/>
    </w:rPr>
  </w:style>
  <w:style w:type="character" w:customStyle="1" w:styleId="44">
    <w:name w:val="标题 4 Char1"/>
    <w:link w:val="6"/>
    <w:qFormat/>
    <w:uiPriority w:val="0"/>
    <w:rPr>
      <w:rFonts w:eastAsia="仿宋"/>
      <w:b/>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10949</Words>
  <Characters>11096</Characters>
  <Lines>0</Lines>
  <Paragraphs>0</Paragraphs>
  <TotalTime>1</TotalTime>
  <ScaleCrop>false</ScaleCrop>
  <LinksUpToDate>false</LinksUpToDate>
  <CharactersWithSpaces>11262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2022-05-26T21:30:00Z</dcterms:created>
  <dc:creator>安全-李超</dc:creator>
  <cp:lastModifiedBy>Administrator</cp:lastModifiedBy>
  <cp:lastPrinted>2024-12-30T02:04:00Z</cp:lastPrinted>
  <dcterms:modified xsi:type="dcterms:W3CDTF">2024-12-31T05:57:56Z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06FD1728955C4052B468517125180834</vt:lpwstr>
  </property>
</Properties>
</file>