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FCEC">
      <w:pPr>
        <w:spacing w:before="78" w:line="224" w:lineRule="auto"/>
        <w:ind w:left="374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1"/>
          <w:sz w:val="24"/>
          <w:szCs w:val="24"/>
        </w:rPr>
        <w:t>附</w:t>
      </w:r>
      <w:r>
        <w:rPr>
          <w:rFonts w:ascii="黑体" w:hAnsi="黑体" w:eastAsia="黑体" w:cs="黑体"/>
          <w:b/>
          <w:bCs/>
          <w:spacing w:val="1"/>
          <w:sz w:val="24"/>
          <w:szCs w:val="24"/>
        </w:rPr>
        <w:t>件</w:t>
      </w:r>
      <w:r>
        <w:rPr>
          <w:rFonts w:hint="eastAsia" w:ascii="黑体" w:hAnsi="黑体" w:eastAsia="黑体" w:cs="黑体"/>
          <w:b/>
          <w:bCs/>
          <w:spacing w:val="1"/>
          <w:sz w:val="24"/>
          <w:szCs w:val="24"/>
          <w:lang w:val="en-US" w:eastAsia="zh-CN"/>
        </w:rPr>
        <w:t>3</w:t>
      </w:r>
    </w:p>
    <w:p w14:paraId="0C97EA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2026-2027年肉牛集群项目资金使用分配表</w:t>
      </w:r>
    </w:p>
    <w:p w14:paraId="0EF493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9D9076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（注：此方案为预计数，具体补贴金额由省财政厅、农业农村厅根据项目实际投资完成额来确定）</w:t>
      </w:r>
    </w:p>
    <w:tbl>
      <w:tblPr>
        <w:tblStyle w:val="2"/>
        <w:tblW w:w="15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736"/>
        <w:gridCol w:w="1133"/>
        <w:gridCol w:w="1270"/>
        <w:gridCol w:w="1298"/>
        <w:gridCol w:w="821"/>
        <w:gridCol w:w="1477"/>
        <w:gridCol w:w="1582"/>
        <w:gridCol w:w="653"/>
        <w:gridCol w:w="694"/>
        <w:gridCol w:w="712"/>
        <w:gridCol w:w="769"/>
        <w:gridCol w:w="1481"/>
        <w:gridCol w:w="1604"/>
        <w:gridCol w:w="735"/>
      </w:tblGrid>
      <w:tr w14:paraId="56D1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序</w:t>
            </w:r>
          </w:p>
          <w:p w14:paraId="1D3A3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建设县（市、区）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2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B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建设期限</w:t>
            </w:r>
          </w:p>
        </w:tc>
        <w:tc>
          <w:tcPr>
            <w:tcW w:w="21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0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建设主体</w:t>
            </w:r>
          </w:p>
        </w:tc>
        <w:tc>
          <w:tcPr>
            <w:tcW w:w="3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7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建设内容</w:t>
            </w:r>
          </w:p>
        </w:tc>
        <w:tc>
          <w:tcPr>
            <w:tcW w:w="28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5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投资金额（万元）</w:t>
            </w:r>
          </w:p>
        </w:tc>
        <w:tc>
          <w:tcPr>
            <w:tcW w:w="30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联农带农情况</w:t>
            </w:r>
          </w:p>
        </w:tc>
        <w:tc>
          <w:tcPr>
            <w:tcW w:w="7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A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AD9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  <w:jc w:val="center"/>
        </w:trPr>
        <w:tc>
          <w:tcPr>
            <w:tcW w:w="45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032E">
            <w:pPr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BFCC">
            <w:pPr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9A92">
            <w:pPr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2D33">
            <w:pPr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D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0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2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中央财政奖补资金用于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9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其他资金用于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D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0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中央财政奖补资金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6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地方整合资金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C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自筹资金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2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任务目标（如吸纳农民就业人数、订单收购金额、收益分红金额等）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具体做法（如订单收购、股份合作、联合经营、社会化服务等）</w:t>
            </w:r>
          </w:p>
        </w:tc>
        <w:tc>
          <w:tcPr>
            <w:tcW w:w="73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F827">
            <w:pPr>
              <w:jc w:val="both"/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</w:tr>
      <w:tr w14:paraId="5B88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3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1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集贤县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肉牛产业基地建设项目 </w:t>
            </w: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9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2026.05-2026.12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65B1">
            <w:pPr>
              <w:keepNext w:val="0"/>
              <w:keepLines w:val="0"/>
              <w:widowControl/>
              <w:suppressLineNumbers w:val="0"/>
              <w:tabs>
                <w:tab w:val="left" w:pos="306"/>
                <w:tab w:val="center" w:pos="663"/>
              </w:tabs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  <w:t>黑龙江昕永胜牧场牧业有限公司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民营企业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3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养殖设备采购（清粪铲车10台、TMR日粮搅拌机2台）。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48米宽，120米长，10米高的钢结构粪污储存收集库房。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1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698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174.5 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C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0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3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523.5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带领周边农户饲养高端肉牛，提升肉牛产品价值；通过扩大规模带动周边就业。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8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1.扩大高端肉牛存栏总量，新增能繁母牛养殖规模，带动周边农户发展高端肉牛产业，共同打造本土高端肉牛品牌。 2. 雇佣本地农户（优先脱贫户、监测户）参与肉牛饲喂、清粪、疫病防控等日常工作，明确务工薪酬，带动农户务工增收。 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 w14:paraId="45C8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1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2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C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集贤县 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0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肉牛产业基地建设项目 </w:t>
            </w: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2026.05-2026.12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集贤县顺福源养殖场 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4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民营企业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6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新建面积为360平方米砖瓦结构牛舍，改造原有圈舍地面600平方米和圈舍设施。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9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养殖设备采购（铲车1台、TMR饲料搅拌机2台、撒料车3立方2台、玉米青黄储饲料收割机1台、干湿分离机1台）。 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D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105.5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F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26.375 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0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0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C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79.125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4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强化与其他养殖场的联动协作，扩大育肥规模，助力乡村人才回流。 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8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扩大肉牛育肥规模，提升存栏总量，与其他养殖场联动，带动农户参与肉牛育肥环节，共享育肥收益。2.雇佣本地农户参与肉牛运输、养殖设施维护等工作，拓宽农户务工渠道，同时优先吸纳本地返乡青年就业，助力乡村人才回流。 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9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 w14:paraId="6AC2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C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3 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6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集贤县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E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肉牛产业基地建设项目 </w:t>
            </w: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2026.05-2026.12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F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集贤县犇康肉牛养殖专业合作社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C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民营企业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厂圈地面改造：混凝土地面C30，厚度20公分，10000平方米。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E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建设饲养牛舍厂房300平方米，钢结构主体、水泥地面墙面、屋顶彩钢夹芯板、水电管线安装；厂圈围栏；青储窖改造。养殖设备采购（电动铲车2台、940大铲车1台、清粪车1台）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A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234.5 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58.625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A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0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4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175.875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E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提升肉牛存栏质量和养殖标准化水平，向周边农户普及科学养殖技术，降低农户养殖成本，助力农户培育优质肉牛，实现养殖增效、农户增收。 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3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提升肉牛存栏质量，引进优质种源，开展肉牛品种改良，免费为周边养殖户提供改良技术指导带动农户养殖优质肉牛。2.统一采购饲料、兽药，以平价供应周边零散养殖户，降低农户养殖成本，同时带动本地饲料经销商、兽药供应商增收。 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 w14:paraId="0ADB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4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集贤县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0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肉牛产业基地建设项目 </w:t>
            </w: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E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2026.05-2026.12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5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集贤县旭昇肉牛养殖专业合作社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民营企业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F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养殖设备采购（12立方卧式双电机双绞笼TM12两台、天朗打包机1台）。 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20m×12m×10m全封闭轻钢结构、四面全封闭彩钢围挡、混凝土地面、屋顶为彩钢瓦+保温棉+防水的草料棚；10m×60m×12m重型热镀锌钢结构封闭牛棚；养殖设备采购（品牌2204拖拉机1台）。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0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112 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28 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B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0 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D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84 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打造标准化优质肉牛养殖品牌，提升肉牛产品附加值，推动农户养殖产品优质优价，拓宽农户长效增收渠道。 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4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规范养殖标准，提升肉牛存栏品质，打造特色肉牛养殖品牌，推动产品溯源体系建设，提升产品市场认可度和售价，带动农户养殖优质肉牛。2.雇佣本地农户参与肉牛品质管控、养殖记录、产品溯源等工作，开展品牌养殖相关培训，提升农户标准化养殖意识和技能，带动农户务工增收。 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1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  <w:tr w14:paraId="12FE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E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5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1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集贤县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F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肉牛屠宰场新建项目</w:t>
            </w: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2026.05-2026.12</w:t>
            </w: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8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双鸭山市华盛牲畜屠宰有限公司</w:t>
            </w: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民营企业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D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污水处理设施及冷库。规划配套建设肉牛屠宰场专用污水处理设施，布设污水收集、沉淀净化、达标处理系统。建设冷库，配备制冷机组、冷风机、恒温控制柜、智能温湿度监测设备。 </w:t>
            </w: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E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新建1座屠宰车间，包括屠宰设备、清洗设备、剥皮设备等。 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1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850 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2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212.5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0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637.5 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9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扩大屠宰加工产能，打通肉牛产销闭环，保障养殖户销售收益，带动农户参与加工、仓储、运输等环节务工，延伸产业链条，拓宽农户增收渠道。 </w:t>
            </w: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5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.雇佣本地农户参与屠宰分割、包装、仓储、运输等环节工作，明确岗位薪酬，带动农户务工增收，优先聘用脱贫户、监测户等重点群体。2.搭建产品销售平台，带动农户养殖的肉牛实现优质优价，同时吸纳农户参与产品装卸、配送等辅助工作，拓宽农户增收渠道。 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Calibri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 项目具有实施可行性、必要性，具备土地规划前提条件。</w:t>
            </w:r>
          </w:p>
        </w:tc>
      </w:tr>
      <w:tr w14:paraId="01DF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合计</w:t>
            </w:r>
          </w:p>
        </w:tc>
        <w:tc>
          <w:tcPr>
            <w:tcW w:w="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C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9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Calibri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2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3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1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A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1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2000</w:t>
            </w:r>
          </w:p>
        </w:tc>
        <w:tc>
          <w:tcPr>
            <w:tcW w:w="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500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F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1500</w:t>
            </w:r>
          </w:p>
        </w:tc>
        <w:tc>
          <w:tcPr>
            <w:tcW w:w="1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1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A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A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</w:pPr>
          </w:p>
        </w:tc>
      </w:tr>
    </w:tbl>
    <w:p w14:paraId="4280F6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493C92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Calibri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1798BB8D">
      <w:pPr>
        <w:rPr>
          <w:rFonts w:ascii="Times New Roman" w:hAnsi="Times New Roman"/>
        </w:rPr>
      </w:pPr>
    </w:p>
    <w:p w14:paraId="02B57100"/>
    <w:p w14:paraId="3094D8B4"/>
    <w:p w14:paraId="12C6E99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2026-05-25T07:54:50Z</dcterms:created>
  <dc:creator>Administrator</dc:creator>
  <cp:lastModifiedBy>柏民啊</cp:lastModifiedBy>
  <dcterms:modified xsi:type="dcterms:W3CDTF">2026-05-25T07:55:06Z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52192BB756D74410A3658394CBABD5D5_12</vt:lpwstr>
  </property>
</Properties>
</file>