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360" w:lineRule="auto"/>
        <w:rPr>
          <w:rFonts w:ascii="仿宋" w:hAnsi="仿宋" w:eastAsia="仿宋" w:cs="仿宋"/>
          <w:b/>
          <w:bCs/>
          <w:sz w:val="44"/>
          <w:szCs w:val="44"/>
        </w:rPr>
      </w:pPr>
    </w:p>
    <w:p>
      <w:pPr>
        <w:jc w:val="center"/>
        <w:rPr>
          <w:rFonts w:hint="eastAsia" w:ascii="黑体" w:hAnsi="黑体" w:eastAsia="黑体" w:cs="黑体"/>
          <w:b/>
          <w:sz w:val="44"/>
          <w:szCs w:val="44"/>
        </w:rPr>
      </w:pPr>
      <w:r>
        <w:rPr>
          <w:rFonts w:hint="eastAsia" w:ascii="仿宋" w:hAnsi="仿宋" w:eastAsia="仿宋" w:cs="仿宋"/>
          <w:b/>
          <w:bCs/>
          <w:sz w:val="44"/>
          <w:szCs w:val="44"/>
        </w:rPr>
        <w:t>集贤县</w:t>
      </w:r>
      <w:r>
        <w:rPr>
          <w:rFonts w:hint="eastAsia" w:ascii="仿宋" w:hAnsi="仿宋" w:eastAsia="仿宋" w:cs="黑体"/>
          <w:b/>
          <w:sz w:val="44"/>
          <w:szCs w:val="44"/>
        </w:rPr>
        <w:t>委巡察工作领导小组办公室</w:t>
      </w:r>
    </w:p>
    <w:p>
      <w:pPr>
        <w:spacing w:line="360" w:lineRule="auto"/>
        <w:rPr>
          <w:rFonts w:ascii="仿宋" w:hAnsi="仿宋" w:eastAsia="仿宋" w:cs="仿宋"/>
          <w:b/>
          <w:bCs/>
          <w:sz w:val="44"/>
          <w:szCs w:val="44"/>
        </w:rPr>
      </w:pPr>
      <w:r>
        <w:rPr>
          <w:rFonts w:hint="eastAsia" w:ascii="仿宋" w:hAnsi="仿宋" w:eastAsia="仿宋" w:cs="仿宋"/>
          <w:b/>
          <w:bCs/>
          <w:sz w:val="44"/>
          <w:szCs w:val="44"/>
        </w:rPr>
        <w:t xml:space="preserve">   2018年度部门决算信息及有关情况说明</w:t>
      </w:r>
    </w:p>
    <w:p>
      <w:pPr>
        <w:spacing w:line="360" w:lineRule="auto"/>
        <w:jc w:val="center"/>
        <w:rPr>
          <w:rFonts w:ascii="仿宋" w:hAnsi="仿宋" w:eastAsia="仿宋" w:cs="仿宋"/>
          <w:b/>
          <w:bCs/>
          <w:sz w:val="44"/>
          <w:szCs w:val="44"/>
        </w:rPr>
      </w:pPr>
    </w:p>
    <w:p>
      <w:pPr>
        <w:spacing w:line="360" w:lineRule="auto"/>
        <w:jc w:val="center"/>
        <w:rPr>
          <w:rFonts w:ascii="仿宋" w:hAnsi="仿宋" w:eastAsia="仿宋" w:cs="仿宋"/>
          <w:b/>
          <w:bCs/>
          <w:sz w:val="44"/>
          <w:szCs w:val="44"/>
        </w:rPr>
      </w:pPr>
      <w:r>
        <w:rPr>
          <w:rFonts w:hint="eastAsia" w:ascii="仿宋" w:hAnsi="仿宋" w:eastAsia="仿宋" w:cs="仿宋"/>
          <w:b/>
          <w:bCs/>
          <w:sz w:val="44"/>
          <w:szCs w:val="44"/>
        </w:rPr>
        <w:t>目录</w:t>
      </w:r>
    </w:p>
    <w:p>
      <w:pPr>
        <w:spacing w:line="360" w:lineRule="auto"/>
        <w:jc w:val="center"/>
        <w:rPr>
          <w:rFonts w:ascii="仿宋" w:hAnsi="仿宋" w:eastAsia="仿宋" w:cs="仿宋"/>
          <w:b/>
          <w:bCs/>
          <w:sz w:val="44"/>
          <w:szCs w:val="44"/>
        </w:rPr>
      </w:pPr>
    </w:p>
    <w:p>
      <w:pPr>
        <w:widowControl/>
        <w:spacing w:line="360" w:lineRule="auto"/>
        <w:jc w:val="center"/>
        <w:rPr>
          <w:rFonts w:ascii="仿宋" w:hAnsi="仿宋" w:eastAsia="仿宋" w:cs="仿宋"/>
          <w:b/>
          <w:bCs/>
          <w:color w:val="000000"/>
          <w:kern w:val="0"/>
          <w:sz w:val="32"/>
          <w:szCs w:val="32"/>
        </w:rPr>
      </w:pPr>
      <w:r>
        <w:rPr>
          <w:rFonts w:hint="eastAsia" w:ascii="仿宋" w:hAnsi="仿宋" w:eastAsia="仿宋" w:cs="仿宋"/>
          <w:b/>
          <w:bCs/>
          <w:color w:val="000000"/>
          <w:kern w:val="0"/>
          <w:sz w:val="32"/>
          <w:szCs w:val="32"/>
        </w:rPr>
        <w:t>第一部分 单位基本情况</w:t>
      </w:r>
    </w:p>
    <w:p>
      <w:pPr>
        <w:widowControl/>
        <w:numPr>
          <w:ilvl w:val="0"/>
          <w:numId w:val="1"/>
        </w:numPr>
        <w:spacing w:line="360" w:lineRule="auto"/>
        <w:rPr>
          <w:rFonts w:ascii="仿宋" w:hAnsi="仿宋" w:eastAsia="仿宋" w:cs="仿宋"/>
          <w:sz w:val="32"/>
          <w:szCs w:val="32"/>
        </w:rPr>
      </w:pPr>
      <w:r>
        <w:rPr>
          <w:rFonts w:hint="eastAsia" w:ascii="仿宋" w:hAnsi="仿宋" w:eastAsia="仿宋" w:cs="仿宋"/>
          <w:sz w:val="32"/>
          <w:szCs w:val="32"/>
        </w:rPr>
        <w:t>部门职责</w:t>
      </w:r>
    </w:p>
    <w:p>
      <w:pPr>
        <w:widowControl/>
        <w:numPr>
          <w:ilvl w:val="0"/>
          <w:numId w:val="1"/>
        </w:numPr>
        <w:spacing w:line="360" w:lineRule="auto"/>
        <w:jc w:val="left"/>
        <w:rPr>
          <w:rFonts w:ascii="仿宋" w:hAnsi="仿宋" w:eastAsia="仿宋" w:cs="仿宋"/>
          <w:sz w:val="32"/>
          <w:szCs w:val="32"/>
        </w:rPr>
      </w:pPr>
      <w:r>
        <w:rPr>
          <w:rFonts w:hint="eastAsia" w:ascii="仿宋" w:hAnsi="仿宋" w:eastAsia="仿宋" w:cs="仿宋"/>
          <w:sz w:val="32"/>
          <w:szCs w:val="32"/>
        </w:rPr>
        <w:t>机构设置</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三、部门决算编报范围及</w:t>
      </w:r>
      <w:r>
        <w:rPr>
          <w:rFonts w:hint="eastAsia" w:ascii="仿宋" w:hAnsi="仿宋" w:eastAsia="仿宋" w:cs="仿宋"/>
          <w:sz w:val="32"/>
          <w:szCs w:val="32"/>
        </w:rPr>
        <w:t>人员构成</w:t>
      </w:r>
    </w:p>
    <w:p>
      <w:pPr>
        <w:widowControl/>
        <w:spacing w:line="360" w:lineRule="auto"/>
        <w:jc w:val="left"/>
        <w:rPr>
          <w:rFonts w:ascii="仿宋" w:hAnsi="仿宋" w:eastAsia="仿宋" w:cs="仿宋"/>
          <w:sz w:val="32"/>
          <w:szCs w:val="32"/>
        </w:rPr>
      </w:pPr>
    </w:p>
    <w:p>
      <w:pPr>
        <w:spacing w:line="360" w:lineRule="auto"/>
        <w:ind w:firstLine="964" w:firstLineChars="300"/>
        <w:rPr>
          <w:rFonts w:ascii="仿宋" w:hAnsi="仿宋" w:eastAsia="仿宋" w:cs="仿宋"/>
          <w:b/>
          <w:sz w:val="32"/>
          <w:szCs w:val="32"/>
        </w:rPr>
      </w:pPr>
      <w:r>
        <w:rPr>
          <w:rFonts w:hint="eastAsia" w:ascii="仿宋" w:hAnsi="仿宋" w:eastAsia="仿宋" w:cs="仿宋"/>
          <w:b/>
          <w:sz w:val="32"/>
          <w:szCs w:val="32"/>
        </w:rPr>
        <w:t>第二部分 2018年部门预算执行总体情况说明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一、收入支出决算总体情况说明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二、收入决算情况说明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三、支出决算情况说明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四、 财政拨款收入支出决算总体情况说明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五、一般公共预算财政拨款支出决算情况说明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六、一般公共预算财政拨款基本支出情况说明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七、一般公共预算财政拨款“三公”经费支出决算情况说明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八、政府性基金预算财政拨款收入支出决算情况说明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九、预算绩效管理工作开展情况说明。</w:t>
      </w:r>
    </w:p>
    <w:p>
      <w:pPr>
        <w:widowControl/>
        <w:spacing w:line="360" w:lineRule="auto"/>
        <w:jc w:val="left"/>
        <w:rPr>
          <w:rFonts w:ascii="仿宋" w:hAnsi="仿宋" w:eastAsia="仿宋" w:cs="仿宋"/>
          <w:sz w:val="32"/>
          <w:szCs w:val="32"/>
        </w:rPr>
      </w:pPr>
      <w:r>
        <w:rPr>
          <w:rFonts w:hint="eastAsia" w:ascii="仿宋" w:hAnsi="仿宋" w:eastAsia="仿宋" w:cs="仿宋"/>
          <w:sz w:val="32"/>
          <w:szCs w:val="32"/>
        </w:rPr>
        <w:t>十、其他重要事项情况说明</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（一）机关运行经费支出情况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（二）政府采购支出情况</w:t>
      </w:r>
    </w:p>
    <w:p>
      <w:pPr>
        <w:widowControl/>
        <w:spacing w:line="360" w:lineRule="auto"/>
        <w:jc w:val="left"/>
        <w:rPr>
          <w:rFonts w:ascii="仿宋" w:hAnsi="仿宋" w:eastAsia="仿宋" w:cs="仿宋"/>
          <w:sz w:val="30"/>
          <w:szCs w:val="30"/>
        </w:rPr>
      </w:pPr>
      <w:r>
        <w:rPr>
          <w:rFonts w:hint="eastAsia" w:ascii="仿宋" w:hAnsi="仿宋" w:eastAsia="仿宋" w:cs="仿宋"/>
          <w:sz w:val="30"/>
          <w:szCs w:val="30"/>
        </w:rPr>
        <w:t>（三）国有资产占用情况</w:t>
      </w:r>
    </w:p>
    <w:p>
      <w:pPr>
        <w:widowControl/>
        <w:spacing w:line="360" w:lineRule="auto"/>
        <w:jc w:val="left"/>
        <w:rPr>
          <w:rFonts w:ascii="仿宋" w:hAnsi="仿宋" w:eastAsia="仿宋" w:cs="仿宋"/>
          <w:sz w:val="30"/>
          <w:szCs w:val="30"/>
        </w:rPr>
      </w:pPr>
    </w:p>
    <w:p>
      <w:pPr>
        <w:numPr>
          <w:ilvl w:val="0"/>
          <w:numId w:val="2"/>
        </w:numPr>
        <w:spacing w:line="360" w:lineRule="auto"/>
        <w:jc w:val="center"/>
        <w:rPr>
          <w:rFonts w:ascii="仿宋" w:hAnsi="仿宋" w:eastAsia="仿宋" w:cs="仿宋"/>
          <w:b/>
          <w:sz w:val="32"/>
          <w:szCs w:val="32"/>
        </w:rPr>
      </w:pPr>
      <w:r>
        <w:rPr>
          <w:rFonts w:hint="eastAsia" w:ascii="仿宋" w:hAnsi="仿宋" w:eastAsia="仿宋" w:cs="仿宋"/>
          <w:b/>
          <w:sz w:val="32"/>
          <w:szCs w:val="32"/>
        </w:rPr>
        <w:t>名词解释</w:t>
      </w: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p>
    <w:p>
      <w:pPr>
        <w:spacing w:line="360" w:lineRule="auto"/>
        <w:rPr>
          <w:rFonts w:ascii="仿宋" w:hAnsi="仿宋" w:eastAsia="仿宋" w:cs="仿宋"/>
          <w:b/>
          <w:sz w:val="32"/>
          <w:szCs w:val="32"/>
        </w:rPr>
      </w:pPr>
      <w:r>
        <w:rPr>
          <w:rFonts w:hint="eastAsia" w:ascii="仿宋" w:hAnsi="仿宋" w:eastAsia="仿宋" w:cs="仿宋"/>
          <w:b/>
          <w:sz w:val="32"/>
          <w:szCs w:val="32"/>
        </w:rPr>
        <w:t>第四部分  2018年度部门决算公开表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收入决算表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财政拨款收入支出决算总表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一般公共预算财政拨款基本支出决算表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一般公共预算财政拨款“三公”经费支出决算表</w:t>
      </w:r>
    </w:p>
    <w:p>
      <w:pPr>
        <w:numPr>
          <w:ilvl w:val="0"/>
          <w:numId w:val="3"/>
        </w:numPr>
        <w:spacing w:line="360" w:lineRule="auto"/>
        <w:rPr>
          <w:rFonts w:ascii="仿宋" w:hAnsi="仿宋" w:eastAsia="仿宋" w:cs="仿宋"/>
          <w:sz w:val="32"/>
          <w:szCs w:val="32"/>
        </w:rPr>
      </w:pPr>
      <w:r>
        <w:rPr>
          <w:rFonts w:hint="eastAsia" w:ascii="仿宋" w:hAnsi="仿宋" w:eastAsia="仿宋" w:cs="仿宋"/>
          <w:sz w:val="32"/>
          <w:szCs w:val="32"/>
        </w:rPr>
        <w:t>政府性基金预算财政拨款收入支出决算表</w:t>
      </w: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sz w:val="32"/>
          <w:szCs w:val="32"/>
        </w:rPr>
      </w:pPr>
    </w:p>
    <w:p>
      <w:pPr>
        <w:spacing w:line="360" w:lineRule="auto"/>
        <w:rPr>
          <w:rFonts w:ascii="仿宋" w:hAnsi="仿宋" w:eastAsia="仿宋" w:cs="仿宋"/>
          <w:b/>
          <w:bCs/>
          <w:sz w:val="32"/>
          <w:szCs w:val="32"/>
        </w:rPr>
      </w:pPr>
      <w:r>
        <w:rPr>
          <w:rFonts w:hint="eastAsia" w:ascii="仿宋" w:hAnsi="仿宋" w:eastAsia="仿宋" w:cs="仿宋"/>
          <w:b/>
          <w:bCs/>
          <w:sz w:val="32"/>
          <w:szCs w:val="32"/>
        </w:rPr>
        <w:t>第一部分  单位基本情况</w:t>
      </w: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部门职责</w:t>
      </w:r>
    </w:p>
    <w:p>
      <w:p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根据《黑龙江省机构编制委员会关于设立市县党委巡察工作机构的通知》（黑编[2016]160号）文件精神，经县机构编制委员会研究决定，成立集贤县委巡察工作领导小组办公室及县委巡查组，为县委巡察工作领导小组下设办公室，为其日常办事机构，设在县纪律检查委员会机关；</w:t>
      </w:r>
      <w:r>
        <w:rPr>
          <w:rFonts w:hint="eastAsia" w:ascii="仿宋_GB2312" w:hAnsi="仿宋" w:eastAsia="仿宋_GB2312" w:cs="宋体"/>
          <w:kern w:val="0"/>
          <w:sz w:val="32"/>
          <w:szCs w:val="32"/>
        </w:rPr>
        <w:t>集贤县委巡察组内部设立第一巡察组、第二巡察组,在县委巡察工作领导小组领导下开展工作，承办相关巡察任务。</w:t>
      </w:r>
      <w:r>
        <w:rPr>
          <w:rFonts w:hint="eastAsia" w:ascii="仿宋_GB2312" w:eastAsia="仿宋_GB2312"/>
          <w:sz w:val="32"/>
          <w:szCs w:val="32"/>
        </w:rPr>
        <w:t>主要职责为：</w:t>
      </w:r>
    </w:p>
    <w:p>
      <w:pPr>
        <w:numPr>
          <w:ilvl w:val="0"/>
          <w:numId w:val="5"/>
        </w:numPr>
        <w:spacing w:line="600" w:lineRule="exact"/>
        <w:ind w:firstLine="640" w:firstLineChars="200"/>
        <w:rPr>
          <w:rFonts w:hint="eastAsia" w:ascii="仿宋_GB2312" w:eastAsia="仿宋_GB2312"/>
          <w:sz w:val="32"/>
          <w:szCs w:val="32"/>
        </w:rPr>
      </w:pPr>
      <w:r>
        <w:rPr>
          <w:rFonts w:hint="eastAsia" w:ascii="仿宋_GB2312" w:eastAsia="仿宋_GB2312"/>
          <w:sz w:val="32"/>
          <w:szCs w:val="32"/>
        </w:rPr>
        <w:t>负责对全县各行政机关、企事业单位执行《中国共产党章程》和其他党内法规、遵守党的纪律、落实党风廉政建设主体责任和监督责任等情况进行监督，着力发现和解决违反“六项纪律”等方面的突出问题；</w:t>
      </w:r>
    </w:p>
    <w:p>
      <w:pPr>
        <w:spacing w:line="560" w:lineRule="exact"/>
        <w:ind w:firstLine="640" w:firstLineChars="200"/>
      </w:pPr>
      <w:r>
        <w:rPr>
          <w:rFonts w:hint="eastAsia" w:ascii="仿宋_GB2312" w:hAnsi="微软雅黑" w:eastAsia="仿宋_GB2312" w:cs="仿宋_GB2312"/>
          <w:sz w:val="32"/>
          <w:szCs w:val="32"/>
          <w:shd w:val="clear" w:color="auto" w:fill="FFFFFF"/>
        </w:rPr>
        <w:t>（二）报告巡察情况，包括巡察情况的全面报告、巡察期间的阶段性报告、巡察过程中的重大情况报告、普遍性、倾向性问题的专题报告等；</w:t>
      </w:r>
    </w:p>
    <w:p>
      <w:pPr>
        <w:spacing w:line="600" w:lineRule="exact"/>
        <w:ind w:firstLine="640" w:firstLineChars="200"/>
      </w:pPr>
      <w:r>
        <w:rPr>
          <w:rFonts w:hint="eastAsia" w:ascii="仿宋_GB2312" w:hAnsi="微软雅黑" w:eastAsia="仿宋_GB2312" w:cs="仿宋_GB2312"/>
          <w:sz w:val="32"/>
          <w:szCs w:val="32"/>
          <w:shd w:val="clear" w:color="auto" w:fill="FFFFFF"/>
        </w:rPr>
        <w:t>（三）巡察工作结束后，经批准，及时向被巡察党组织及其主要负责人反馈巡察情况，并会同巡察办督促其认真抓好整改落实；</w:t>
      </w:r>
    </w:p>
    <w:p>
      <w:pPr>
        <w:spacing w:line="600" w:lineRule="exact"/>
        <w:ind w:firstLine="640" w:firstLineChars="200"/>
      </w:pPr>
      <w:r>
        <w:rPr>
          <w:rFonts w:hint="eastAsia" w:ascii="仿宋_GB2312" w:hAnsi="微软雅黑" w:eastAsia="仿宋_GB2312" w:cs="仿宋_GB2312"/>
          <w:sz w:val="32"/>
          <w:szCs w:val="32"/>
          <w:shd w:val="clear" w:color="auto" w:fill="FFFFFF"/>
        </w:rPr>
        <w:t>（四）办理县委巡察工作领导小组交办的其他事项；</w:t>
      </w:r>
    </w:p>
    <w:p>
      <w:pPr>
        <w:spacing w:line="600" w:lineRule="exact"/>
        <w:ind w:firstLine="640" w:firstLineChars="200"/>
      </w:pPr>
      <w:r>
        <w:rPr>
          <w:rFonts w:hint="eastAsia" w:ascii="仿宋_GB2312" w:hAnsi="宋体" w:eastAsia="仿宋_GB2312" w:cs="仿宋_GB2312"/>
          <w:sz w:val="32"/>
          <w:szCs w:val="32"/>
          <w:shd w:val="clear" w:color="auto" w:fill="FFFFFF"/>
        </w:rPr>
        <w:t>（五）负责本巡察组干部日常管理和监督，承办领导交办的其他事项。</w:t>
      </w:r>
    </w:p>
    <w:p>
      <w:pPr>
        <w:spacing w:line="360" w:lineRule="auto"/>
        <w:rPr>
          <w:rFonts w:ascii="仿宋" w:hAnsi="仿宋" w:eastAsia="仿宋" w:cs="仿宋"/>
          <w:b/>
          <w:bCs/>
          <w:sz w:val="32"/>
          <w:szCs w:val="32"/>
        </w:rPr>
      </w:pPr>
    </w:p>
    <w:p>
      <w:pPr>
        <w:numPr>
          <w:ilvl w:val="0"/>
          <w:numId w:val="4"/>
        </w:num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机构设置</w:t>
      </w:r>
    </w:p>
    <w:p>
      <w:pPr>
        <w:widowControl/>
        <w:spacing w:line="315" w:lineRule="atLeast"/>
        <w:ind w:firstLine="628"/>
        <w:rPr>
          <w:rFonts w:ascii="仿宋" w:hAnsi="仿宋" w:eastAsia="仿宋"/>
          <w:color w:val="000000"/>
          <w:sz w:val="32"/>
          <w:szCs w:val="32"/>
        </w:rPr>
      </w:pPr>
      <w:r>
        <w:rPr>
          <w:rFonts w:hint="eastAsia" w:ascii="仿宋_GB2312" w:hAnsi="仿宋" w:eastAsia="仿宋_GB2312" w:cs="宋体"/>
          <w:kern w:val="0"/>
          <w:sz w:val="32"/>
          <w:szCs w:val="32"/>
        </w:rPr>
        <w:t>内设综合业务股，负责党群工作，机关日常运转，承担信息、安全、保密、政务公开、人事、财务、机构编制等工作；集贤县委设巡查组2个：县委第一巡察组、第二巡察组</w:t>
      </w:r>
      <w:r>
        <w:rPr>
          <w:rFonts w:hint="eastAsia" w:ascii="仿宋" w:hAnsi="仿宋" w:eastAsia="仿宋" w:cs="楷体_GB2312"/>
          <w:color w:val="000000"/>
          <w:kern w:val="0"/>
          <w:sz w:val="32"/>
          <w:szCs w:val="32"/>
        </w:rPr>
        <w:t>。</w:t>
      </w:r>
    </w:p>
    <w:p>
      <w:pPr>
        <w:spacing w:line="360" w:lineRule="auto"/>
        <w:ind w:firstLine="643" w:firstLineChars="200"/>
        <w:rPr>
          <w:rFonts w:ascii="仿宋" w:hAnsi="仿宋" w:eastAsia="仿宋" w:cs="仿宋"/>
          <w:b/>
          <w:bCs/>
          <w:sz w:val="32"/>
          <w:szCs w:val="32"/>
        </w:rPr>
      </w:pPr>
      <w:r>
        <w:rPr>
          <w:rFonts w:hint="eastAsia" w:ascii="仿宋" w:hAnsi="仿宋" w:eastAsia="仿宋" w:cs="仿宋"/>
          <w:b/>
          <w:bCs/>
          <w:sz w:val="32"/>
          <w:szCs w:val="32"/>
        </w:rPr>
        <w:t>三、</w:t>
      </w:r>
      <w:r>
        <w:rPr>
          <w:rFonts w:hint="eastAsia" w:ascii="仿宋" w:hAnsi="仿宋" w:eastAsia="仿宋" w:cs="仿宋"/>
          <w:b/>
          <w:bCs/>
          <w:sz w:val="30"/>
          <w:szCs w:val="30"/>
        </w:rPr>
        <w:t>部门决算编报范围及</w:t>
      </w:r>
      <w:r>
        <w:rPr>
          <w:rFonts w:hint="eastAsia" w:ascii="仿宋" w:hAnsi="仿宋" w:eastAsia="仿宋" w:cs="仿宋"/>
          <w:b/>
          <w:bCs/>
          <w:sz w:val="32"/>
          <w:szCs w:val="32"/>
        </w:rPr>
        <w:t xml:space="preserve">人员构成 </w:t>
      </w:r>
    </w:p>
    <w:p>
      <w:pPr>
        <w:widowControl/>
        <w:spacing w:line="315" w:lineRule="atLeast"/>
        <w:ind w:firstLine="628"/>
        <w:rPr>
          <w:rFonts w:ascii="仿宋" w:hAnsi="仿宋" w:eastAsia="仿宋" w:cs="仿宋"/>
          <w:sz w:val="30"/>
          <w:szCs w:val="30"/>
        </w:rPr>
      </w:pPr>
      <w:r>
        <w:rPr>
          <w:rFonts w:hint="eastAsia" w:ascii="仿宋" w:hAnsi="仿宋" w:eastAsia="仿宋" w:cs="仿宋"/>
          <w:color w:val="000000"/>
          <w:kern w:val="0"/>
          <w:sz w:val="30"/>
          <w:szCs w:val="30"/>
        </w:rPr>
        <w:t>2018年度纳入本部门决算的编制范围的单位有 1 个，为</w:t>
      </w:r>
      <w:r>
        <w:rPr>
          <w:rFonts w:hint="eastAsia" w:ascii="仿宋_GB2312" w:eastAsia="仿宋_GB2312"/>
          <w:sz w:val="32"/>
          <w:szCs w:val="32"/>
        </w:rPr>
        <w:t>集贤县委巡察工作领导小组办公室</w:t>
      </w:r>
      <w:r>
        <w:rPr>
          <w:rFonts w:hint="eastAsia" w:ascii="仿宋" w:hAnsi="仿宋" w:eastAsia="仿宋" w:cs="仿宋"/>
          <w:color w:val="000000"/>
          <w:kern w:val="0"/>
          <w:sz w:val="30"/>
          <w:szCs w:val="30"/>
        </w:rPr>
        <w:t>局。2018年末</w:t>
      </w:r>
      <w:r>
        <w:rPr>
          <w:rFonts w:hint="eastAsia" w:ascii="仿宋" w:hAnsi="仿宋" w:eastAsia="仿宋" w:cs="仿宋"/>
          <w:sz w:val="30"/>
          <w:szCs w:val="30"/>
        </w:rPr>
        <w:t xml:space="preserve">行政编制9人，年末机构实有人数 9 人，其中：在职人员9人，离休人员0人。 </w:t>
      </w: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第二部分 2018年部门预算执行总体情况说明</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一、收入支出决算总体情况说明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kern w:val="0"/>
          <w:sz w:val="30"/>
          <w:szCs w:val="30"/>
        </w:rPr>
        <w:t>2018年度部门决算收、支总计74.15万元，其中：本年收入73.98万元；用事业基金弥补收支差额0万元；年初结转和结余0.17万元；本年支出74.00万元；结余分配0万元，年末结转和结余0.15万元。</w:t>
      </w:r>
      <w:r>
        <w:rPr>
          <w:rFonts w:hint="eastAsia" w:ascii="仿宋" w:hAnsi="仿宋" w:eastAsia="仿宋" w:cs="仿宋"/>
          <w:sz w:val="30"/>
          <w:szCs w:val="30"/>
        </w:rPr>
        <w:t>与 2017年度</w:t>
      </w:r>
      <w:r>
        <w:rPr>
          <w:rFonts w:hint="eastAsia" w:ascii="仿宋" w:hAnsi="仿宋" w:eastAsia="仿宋" w:cs="仿宋"/>
          <w:kern w:val="0"/>
          <w:sz w:val="30"/>
          <w:szCs w:val="30"/>
        </w:rPr>
        <w:t>部门决算收、支总计28.32万元</w:t>
      </w:r>
      <w:r>
        <w:rPr>
          <w:rFonts w:hint="eastAsia" w:ascii="仿宋" w:hAnsi="仿宋" w:eastAsia="仿宋" w:cs="仿宋"/>
          <w:sz w:val="30"/>
          <w:szCs w:val="30"/>
        </w:rPr>
        <w:t>相比，收、支总计均增加45.83万元，同比增长161.8 %。主要原因：人员增加。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二、收入决算情况说明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本年收入合计74.15万元，与 2017年度相比，增加45.83万元，同比增长161.8%。主要原因：人员增加。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其中：财政拨款收入73.98万元，占收入合计的99.8%；事业收入 0万元，占 0%；其他收入0.17万元，占收入合计的0.2%。</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三、支出决算情况说明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本年支出合计74.00万元，与2017年度相比，增加45.85万元，同比增长162.8%。主要原因：人员增加。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其中：基本支出74.00万元，占支出合计的100%；项目支出0万元，占支出合计的0%。</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四、财政拨款收入支出决算总体情况说明</w:t>
      </w:r>
    </w:p>
    <w:p>
      <w:pPr>
        <w:widowControl/>
        <w:spacing w:line="360" w:lineRule="auto"/>
        <w:ind w:firstLine="600" w:firstLineChars="200"/>
        <w:jc w:val="left"/>
        <w:rPr>
          <w:rFonts w:ascii="仿宋" w:hAnsi="仿宋" w:eastAsia="仿宋" w:cs="仿宋"/>
          <w:sz w:val="30"/>
          <w:szCs w:val="30"/>
          <w:highlight w:val="yellow"/>
        </w:rPr>
      </w:pPr>
      <w:r>
        <w:rPr>
          <w:rFonts w:hint="eastAsia" w:ascii="仿宋" w:hAnsi="仿宋" w:eastAsia="仿宋" w:cs="仿宋"/>
          <w:sz w:val="30"/>
          <w:szCs w:val="30"/>
        </w:rPr>
        <w:t>2018年度财政拨款收、支总计74.15万元。与 2017年度相比，财政拨款收、支总计各增加45.83万元，增长161.8%。主要原因：人员增加。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五、一般公共预算财政拨款支出决算情况说明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 xml:space="preserve">   （一）一般公共预算财政拨款支出决算总体情况。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 xml:space="preserve">2018年度一般公共预算财政拨款支出74.00万元，与2017年决算数相比，增加45.85万元，增长162.8%，主要原因是     。      。  </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（二）一般公共预算财政拨款支出决算结构情况。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2018年度一般公共预算财政拨款支出74.00万元，主要用于以下方面：一般公共服务支出（类）68.40万元，占92.4%；住房保障支出（类）5.61万元，占7.6%。</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（三）一般公共预算财政拨款支出决算具体情况。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2018年度一般公共预算财政拨款支出年初预算为</w:t>
      </w:r>
      <w:r>
        <w:rPr>
          <w:rFonts w:hint="eastAsia" w:ascii="仿宋" w:hAnsi="仿宋" w:eastAsia="仿宋" w:cs="仿宋"/>
          <w:sz w:val="30"/>
          <w:szCs w:val="30"/>
          <w:lang w:val="en-US" w:eastAsia="zh-CN"/>
        </w:rPr>
        <w:t>64.2</w:t>
      </w:r>
      <w:r>
        <w:rPr>
          <w:rFonts w:hint="eastAsia" w:ascii="仿宋" w:hAnsi="仿宋" w:eastAsia="仿宋" w:cs="仿宋"/>
          <w:sz w:val="30"/>
          <w:szCs w:val="30"/>
        </w:rPr>
        <w:t>万元，支出决算为</w:t>
      </w:r>
      <w:r>
        <w:rPr>
          <w:rFonts w:hint="eastAsia" w:ascii="仿宋" w:hAnsi="仿宋" w:eastAsia="仿宋" w:cs="仿宋"/>
          <w:sz w:val="30"/>
          <w:szCs w:val="30"/>
          <w:lang w:val="en-US" w:eastAsia="zh-CN"/>
        </w:rPr>
        <w:t>74</w:t>
      </w:r>
      <w:r>
        <w:rPr>
          <w:rFonts w:hint="eastAsia" w:ascii="仿宋" w:hAnsi="仿宋" w:eastAsia="仿宋" w:cs="仿宋"/>
          <w:sz w:val="30"/>
          <w:szCs w:val="30"/>
        </w:rPr>
        <w:t xml:space="preserve">万元，完成年初预算的 </w:t>
      </w:r>
      <w:r>
        <w:rPr>
          <w:rFonts w:hint="eastAsia" w:ascii="仿宋" w:hAnsi="仿宋" w:eastAsia="仿宋" w:cs="仿宋"/>
          <w:sz w:val="30"/>
          <w:szCs w:val="30"/>
          <w:lang w:val="en-US" w:eastAsia="zh-CN"/>
        </w:rPr>
        <w:t>115.3</w:t>
      </w:r>
      <w:r>
        <w:rPr>
          <w:rFonts w:hint="eastAsia" w:ascii="仿宋" w:hAnsi="仿宋" w:eastAsia="仿宋" w:cs="仿宋"/>
          <w:sz w:val="30"/>
          <w:szCs w:val="30"/>
        </w:rPr>
        <w:t xml:space="preserve"> %。其中：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  一般公共服务支出（类）纪检监察事务（款）行政运行（项）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2018年初预算为59.75万元，支出决算为 68.40 万元 ，完成年初预算的 114.5 %。决算数大于预算数的主要原因是人员增加。</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2、住房保障支出（类）住房改革支出（款）住房公积金（项）</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2018年初预算为4.45万元，支出决算为5.61 万元 ，完成年初预算的 126.1 %。决算数大于预算数的主要原因是人员增加。</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六、一般公共预算财政拨款基本支出决算情况说明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2018年度一般公共预算财政拨款基本支出69.10万元，其中：</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人员经费58.12万元，主要包括：基本工资、津贴补贴、奖金、住房公积金；</w:t>
      </w:r>
    </w:p>
    <w:p>
      <w:pPr>
        <w:widowControl/>
        <w:spacing w:line="360" w:lineRule="auto"/>
        <w:ind w:firstLine="600" w:firstLineChars="200"/>
        <w:jc w:val="left"/>
        <w:rPr>
          <w:rFonts w:hint="eastAsia" w:ascii="仿宋" w:hAnsi="仿宋" w:eastAsia="仿宋" w:cs="仿宋"/>
          <w:sz w:val="30"/>
          <w:szCs w:val="30"/>
          <w:lang w:eastAsia="zh-CN"/>
        </w:rPr>
      </w:pPr>
      <w:r>
        <w:rPr>
          <w:rFonts w:hint="eastAsia" w:ascii="仿宋" w:hAnsi="仿宋" w:eastAsia="仿宋" w:cs="仿宋"/>
          <w:sz w:val="30"/>
          <w:szCs w:val="30"/>
        </w:rPr>
        <w:t>公用经费10.98万元，主要包括：办公费、印刷费、水费</w:t>
      </w:r>
      <w:r>
        <w:rPr>
          <w:rFonts w:hint="eastAsia" w:ascii="仿宋" w:hAnsi="仿宋" w:eastAsia="仿宋" w:cs="仿宋"/>
          <w:sz w:val="30"/>
          <w:szCs w:val="30"/>
          <w:lang w:eastAsia="zh-CN"/>
        </w:rPr>
        <w:t>、</w:t>
      </w:r>
      <w:r>
        <w:rPr>
          <w:rFonts w:hint="eastAsia" w:ascii="仿宋" w:hAnsi="仿宋" w:eastAsia="仿宋" w:cs="仿宋"/>
          <w:sz w:val="30"/>
          <w:szCs w:val="30"/>
        </w:rPr>
        <w:t>邮电费、取暖费、物业管理费、差旅费、培训费、公务用车运行维护费</w:t>
      </w:r>
      <w:r>
        <w:rPr>
          <w:rFonts w:hint="eastAsia" w:ascii="仿宋" w:hAnsi="仿宋" w:eastAsia="仿宋" w:cs="仿宋"/>
          <w:sz w:val="30"/>
          <w:szCs w:val="30"/>
          <w:lang w:eastAsia="zh-CN"/>
        </w:rPr>
        <w:t>。</w:t>
      </w:r>
      <w:bookmarkStart w:id="0" w:name="_GoBack"/>
      <w:bookmarkEnd w:id="0"/>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七、一般公共预算财政拨款“三公”经费支出决算情况说明</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（一）“三公”经费财政拨款支出决算总体情况说明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2018年度“三公”经费财政拨款支出决算为3.11万元，比2017年增加3.11万元，增长100 %,主要原因是增加1台执法车。年初预算为 0万元，完成预算的 0 %，2018年度“三公”经费支出决算数大于预算数的主要原因是增加1台执法车。</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（二）“三公”经费财政拨款支出决算具体情况说明。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1、</w:t>
      </w:r>
      <w:r>
        <w:rPr>
          <w:rFonts w:hint="eastAsia" w:ascii="仿宋" w:hAnsi="仿宋" w:eastAsia="仿宋" w:cs="仿宋"/>
          <w:b/>
          <w:bCs/>
          <w:sz w:val="30"/>
          <w:szCs w:val="30"/>
        </w:rPr>
        <w:t>因公出国（境）费</w:t>
      </w:r>
      <w:r>
        <w:rPr>
          <w:rFonts w:hint="eastAsia" w:ascii="仿宋" w:hAnsi="仿宋" w:eastAsia="仿宋" w:cs="仿宋"/>
          <w:sz w:val="30"/>
          <w:szCs w:val="30"/>
        </w:rPr>
        <w:t>年初预算为0万元，支出决算为 0万元，完成预算的 0%，主要用于 无 。决算数小于预算数的主要原因：无；与上年决算相比，增加3.11万元，增长100%，主要原因是增加1台执法车；全年安排因公出国（境）团组0个，累计0人次。</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w:t>
      </w:r>
      <w:r>
        <w:rPr>
          <w:rFonts w:hint="eastAsia" w:ascii="仿宋" w:hAnsi="仿宋" w:eastAsia="仿宋" w:cs="仿宋"/>
          <w:b/>
          <w:bCs/>
          <w:sz w:val="30"/>
          <w:szCs w:val="30"/>
        </w:rPr>
        <w:t>公务用车购置及运行费</w:t>
      </w:r>
      <w:r>
        <w:rPr>
          <w:rFonts w:hint="eastAsia" w:ascii="仿宋" w:hAnsi="仿宋" w:eastAsia="仿宋" w:cs="仿宋"/>
          <w:sz w:val="30"/>
          <w:szCs w:val="30"/>
        </w:rPr>
        <w:t>年初预算为 0 万元，支出决算为3.11万元，完成预算的0%；与上年决算比增加3.11万元，增长100 %，主要原因是增加1台执法车；其中：公务用车购置支出0万元，主要用于0，与上年决算比增加  3.11 万元，增长100 %；公务用车运行维护费3.11万元，主要用于行政执法，与上年决算比增加3.11 万元，增长100 %；公务用车购置数 0 辆，公务用车保有量1辆。</w:t>
      </w:r>
    </w:p>
    <w:p>
      <w:pPr>
        <w:widowControl/>
        <w:spacing w:line="360" w:lineRule="auto"/>
        <w:ind w:firstLine="602" w:firstLineChars="200"/>
        <w:jc w:val="left"/>
        <w:rPr>
          <w:rFonts w:ascii="仿宋" w:hAnsi="仿宋" w:eastAsia="仿宋" w:cs="仿宋"/>
          <w:sz w:val="30"/>
          <w:szCs w:val="30"/>
        </w:rPr>
      </w:pPr>
      <w:r>
        <w:rPr>
          <w:rFonts w:hint="eastAsia" w:ascii="仿宋" w:hAnsi="仿宋" w:eastAsia="仿宋" w:cs="仿宋"/>
          <w:b/>
          <w:bCs/>
          <w:sz w:val="30"/>
          <w:szCs w:val="30"/>
        </w:rPr>
        <w:t>3、公务接待费</w:t>
      </w:r>
      <w:r>
        <w:rPr>
          <w:rFonts w:hint="eastAsia" w:ascii="仿宋" w:hAnsi="仿宋" w:eastAsia="仿宋" w:cs="仿宋"/>
          <w:sz w:val="30"/>
          <w:szCs w:val="30"/>
        </w:rPr>
        <w:t>年初预算为0万元，支出决算为0万元，完成预算的0%，主要用于：无；与上年决算比减少（增加）0 万元，下降（增长）0 %，主要原因是   无   。其中：国内公务接待费0万元，国内公务接待批次0个，国内公务接待人次0人；国（境）外公务接待费0万元，国（境）外公务接待批次 0个，国（境）外公务接待人次 0 人。</w:t>
      </w:r>
    </w:p>
    <w:p>
      <w:pPr>
        <w:widowControl/>
        <w:spacing w:line="360" w:lineRule="auto"/>
        <w:jc w:val="left"/>
        <w:rPr>
          <w:rFonts w:ascii="仿宋" w:hAnsi="仿宋" w:eastAsia="仿宋" w:cs="仿宋"/>
          <w:b/>
          <w:bCs/>
          <w:sz w:val="32"/>
          <w:szCs w:val="32"/>
        </w:rPr>
      </w:pPr>
      <w:r>
        <w:rPr>
          <w:rFonts w:hint="eastAsia" w:ascii="仿宋" w:hAnsi="仿宋" w:eastAsia="仿宋" w:cs="仿宋"/>
          <w:b/>
          <w:bCs/>
          <w:sz w:val="32"/>
          <w:szCs w:val="32"/>
        </w:rPr>
        <w:t>八、政府性基金预算财政拨款收入支出决算情况说明</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2018年度政府性基金预算财政拨款年初结转和结余0万元，本年收入决算数0万元，本年支出决算数0万元，年末结转和结余0万元。与 2017年相比，政府性基金预算财政拨款支出增加（减少）0万元，增长（下降） 0  %，主要原因是。本部门2018年度没有政府性基金收入，也没有使用政府性基金安排的支出，故本表无数据</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年初预算为0万元，支出决算为0 万元。本年收入0万元，已结转下年。</w:t>
      </w:r>
    </w:p>
    <w:p>
      <w:pPr>
        <w:widowControl/>
        <w:numPr>
          <w:ilvl w:val="0"/>
          <w:numId w:val="6"/>
        </w:numPr>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预算绩效管理工作开展情况说明。</w:t>
      </w:r>
    </w:p>
    <w:p>
      <w:pPr>
        <w:widowControl/>
        <w:spacing w:line="360" w:lineRule="auto"/>
        <w:ind w:firstLine="800" w:firstLineChars="250"/>
        <w:jc w:val="left"/>
        <w:rPr>
          <w:rFonts w:ascii="仿宋" w:hAnsi="仿宋" w:eastAsia="仿宋" w:cs="仿宋"/>
          <w:b/>
          <w:bCs/>
          <w:sz w:val="32"/>
          <w:szCs w:val="32"/>
        </w:rPr>
      </w:pPr>
      <w:r>
        <w:rPr>
          <w:rFonts w:hint="eastAsia" w:ascii="仿宋" w:hAnsi="仿宋" w:eastAsia="仿宋" w:cs="仿宋"/>
          <w:sz w:val="32"/>
          <w:szCs w:val="32"/>
        </w:rPr>
        <w:t>2018年度没有20万元以上项目、政府购买公共服务项目和市级以上专项，故没有开展绩效评价工作。</w:t>
      </w:r>
    </w:p>
    <w:p>
      <w:pPr>
        <w:widowControl/>
        <w:spacing w:line="360" w:lineRule="auto"/>
        <w:ind w:firstLine="643" w:firstLineChars="200"/>
        <w:jc w:val="left"/>
        <w:rPr>
          <w:rFonts w:ascii="仿宋" w:hAnsi="仿宋" w:eastAsia="仿宋" w:cs="仿宋"/>
          <w:b/>
          <w:bCs/>
          <w:sz w:val="32"/>
          <w:szCs w:val="32"/>
        </w:rPr>
      </w:pPr>
      <w:r>
        <w:rPr>
          <w:rFonts w:hint="eastAsia" w:ascii="仿宋" w:hAnsi="仿宋" w:eastAsia="仿宋" w:cs="仿宋"/>
          <w:b/>
          <w:bCs/>
          <w:sz w:val="32"/>
          <w:szCs w:val="32"/>
        </w:rPr>
        <w:t>十、其他重要事项情况说明</w:t>
      </w:r>
    </w:p>
    <w:p>
      <w:pPr>
        <w:widowControl/>
        <w:spacing w:line="360" w:lineRule="auto"/>
        <w:jc w:val="left"/>
        <w:rPr>
          <w:rFonts w:ascii="仿宋" w:hAnsi="仿宋" w:eastAsia="仿宋" w:cs="仿宋"/>
          <w:b/>
          <w:bCs/>
          <w:sz w:val="30"/>
          <w:szCs w:val="30"/>
        </w:rPr>
      </w:pPr>
      <w:r>
        <w:rPr>
          <w:rFonts w:hint="eastAsia" w:ascii="仿宋" w:hAnsi="仿宋" w:eastAsia="仿宋" w:cs="仿宋"/>
          <w:b/>
          <w:bCs/>
          <w:sz w:val="30"/>
          <w:szCs w:val="30"/>
        </w:rPr>
        <w:t>（一）机关运行经费支出情况</w:t>
      </w:r>
    </w:p>
    <w:p>
      <w:pPr>
        <w:widowControl/>
        <w:spacing w:line="360" w:lineRule="auto"/>
        <w:ind w:firstLine="600"/>
        <w:jc w:val="left"/>
        <w:rPr>
          <w:rFonts w:ascii="仿宋" w:hAnsi="仿宋" w:eastAsia="仿宋" w:cs="仿宋"/>
          <w:sz w:val="30"/>
          <w:szCs w:val="30"/>
        </w:rPr>
      </w:pPr>
      <w:r>
        <w:rPr>
          <w:rFonts w:hint="eastAsia" w:ascii="仿宋" w:hAnsi="仿宋" w:eastAsia="仿宋" w:cs="仿宋"/>
          <w:sz w:val="30"/>
          <w:szCs w:val="30"/>
        </w:rPr>
        <w:t>2018年度机关运行经费支出10.98万元，较年初预算减少7.08 万元，下降64.5 %，主要原因严格控制，压缩开支；较上年决算减少7.08万元，同比下降38.9%，主要原因是：严格控制，压缩开支。</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（二）政府采购支出情况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2018年本部门政府采购支出总额0万元，其中：政府采购货物支出0万元、政府采购工程支出0万元、政府采购服务支出0万元。授予中小企业合同金额0万元，占政府采购支出总额的0%。其中：授予小微企业合同金额0万元，占政府采购支出总额的0%。</w:t>
      </w:r>
    </w:p>
    <w:p>
      <w:pPr>
        <w:widowControl/>
        <w:spacing w:line="360" w:lineRule="auto"/>
        <w:ind w:firstLine="602" w:firstLineChars="200"/>
        <w:jc w:val="left"/>
        <w:rPr>
          <w:rFonts w:ascii="仿宋" w:hAnsi="仿宋" w:eastAsia="仿宋" w:cs="仿宋"/>
          <w:b/>
          <w:bCs/>
          <w:sz w:val="30"/>
          <w:szCs w:val="30"/>
        </w:rPr>
      </w:pPr>
      <w:r>
        <w:rPr>
          <w:rFonts w:hint="eastAsia" w:ascii="仿宋" w:hAnsi="仿宋" w:eastAsia="仿宋" w:cs="仿宋"/>
          <w:b/>
          <w:bCs/>
          <w:sz w:val="30"/>
          <w:szCs w:val="30"/>
        </w:rPr>
        <w:t>（三）国有资产占用情况</w:t>
      </w:r>
    </w:p>
    <w:p>
      <w:pPr>
        <w:widowControl/>
        <w:spacing w:line="360" w:lineRule="auto"/>
        <w:ind w:firstLine="600" w:firstLineChars="200"/>
        <w:jc w:val="left"/>
        <w:rPr>
          <w:rFonts w:ascii="仿宋" w:hAnsi="仿宋" w:eastAsia="仿宋" w:cs="仿宋"/>
          <w:sz w:val="30"/>
          <w:szCs w:val="30"/>
        </w:rPr>
      </w:pPr>
      <w:r>
        <w:rPr>
          <w:rFonts w:hint="eastAsia" w:ascii="仿宋" w:hAnsi="仿宋" w:eastAsia="仿宋" w:cs="仿宋"/>
          <w:sz w:val="30"/>
          <w:szCs w:val="30"/>
        </w:rPr>
        <w:t>截至2018年12月31日，本部门共有车辆1辆，其中：副部（省）级及以上领导用车0辆、主要领导干部用0车辆、机要通信用车0辆，应急保障用车0辆、执法执勤用车1辆、特种专业技术用车0辆、离退休干部用车0辆，其他用车0辆。单价50万元以上通用设备0 台(套)，单价100万元以上专用设备0台(套)。</w:t>
      </w:r>
    </w:p>
    <w:p>
      <w:pPr>
        <w:spacing w:line="360" w:lineRule="auto"/>
        <w:rPr>
          <w:rFonts w:ascii="仿宋" w:hAnsi="仿宋" w:eastAsia="仿宋" w:cs="仿宋"/>
          <w:sz w:val="32"/>
          <w:szCs w:val="32"/>
        </w:rPr>
      </w:pPr>
    </w:p>
    <w:p>
      <w:pPr>
        <w:spacing w:line="360" w:lineRule="auto"/>
        <w:jc w:val="center"/>
        <w:rPr>
          <w:rFonts w:ascii="仿宋" w:hAnsi="仿宋" w:eastAsia="仿宋" w:cs="仿宋"/>
          <w:b/>
          <w:bCs/>
          <w:sz w:val="32"/>
          <w:szCs w:val="32"/>
        </w:rPr>
      </w:pPr>
      <w:r>
        <w:rPr>
          <w:rFonts w:hint="eastAsia" w:ascii="仿宋" w:hAnsi="仿宋" w:eastAsia="仿宋" w:cs="仿宋"/>
          <w:b/>
          <w:bCs/>
          <w:sz w:val="32"/>
          <w:szCs w:val="32"/>
        </w:rPr>
        <w:t>第三部分 名词解释</w:t>
      </w:r>
    </w:p>
    <w:p>
      <w:pPr>
        <w:spacing w:line="360" w:lineRule="auto"/>
        <w:rPr>
          <w:rFonts w:ascii="仿宋" w:hAnsi="仿宋" w:eastAsia="仿宋" w:cs="仿宋"/>
          <w:sz w:val="30"/>
          <w:szCs w:val="30"/>
        </w:rPr>
      </w:pPr>
    </w:p>
    <w:p>
      <w:pPr>
        <w:spacing w:line="360" w:lineRule="auto"/>
        <w:ind w:firstLine="660"/>
        <w:rPr>
          <w:rFonts w:ascii="仿宋" w:hAnsi="仿宋" w:eastAsia="仿宋" w:cs="仿宋"/>
          <w:sz w:val="32"/>
          <w:szCs w:val="32"/>
        </w:rPr>
      </w:pPr>
      <w:r>
        <w:rPr>
          <w:rFonts w:hint="eastAsia" w:ascii="仿宋" w:hAnsi="仿宋" w:eastAsia="仿宋" w:cs="仿宋"/>
          <w:sz w:val="30"/>
          <w:szCs w:val="30"/>
        </w:rPr>
        <w:t xml:space="preserve">根据《2018年政府收支分类科目》对2018年度部门决算公开中相关名词解释如下： </w:t>
      </w:r>
      <w:r>
        <w:rPr>
          <w:rFonts w:hint="eastAsia" w:ascii="仿宋" w:hAnsi="仿宋" w:eastAsia="仿宋" w:cs="仿宋"/>
          <w:sz w:val="30"/>
          <w:szCs w:val="30"/>
        </w:rPr>
        <w:br w:type="textWrapping"/>
      </w:r>
      <w:r>
        <w:rPr>
          <w:rFonts w:hint="eastAsia" w:ascii="仿宋" w:hAnsi="仿宋" w:eastAsia="仿宋" w:cs="仿宋"/>
          <w:sz w:val="30"/>
          <w:szCs w:val="30"/>
        </w:rPr>
        <w:t>　　财政拨款收入：反映财政部门用公共预算收入安排的预</w:t>
      </w:r>
      <w:r>
        <w:rPr>
          <w:rFonts w:hint="eastAsia" w:ascii="仿宋" w:hAnsi="仿宋" w:eastAsia="仿宋" w:cs="仿宋"/>
          <w:sz w:val="32"/>
          <w:szCs w:val="32"/>
        </w:rPr>
        <w:t>算单位资金。</w:t>
      </w:r>
    </w:p>
    <w:p>
      <w:pPr>
        <w:spacing w:line="360" w:lineRule="auto"/>
        <w:ind w:firstLine="660"/>
        <w:rPr>
          <w:rFonts w:ascii="仿宋" w:hAnsi="仿宋" w:eastAsia="仿宋" w:cs="仿宋"/>
          <w:color w:val="111111"/>
          <w:kern w:val="0"/>
          <w:sz w:val="30"/>
          <w:szCs w:val="30"/>
        </w:rPr>
      </w:pPr>
      <w:r>
        <w:rPr>
          <w:rFonts w:hint="eastAsia" w:ascii="仿宋" w:hAnsi="仿宋" w:eastAsia="仿宋" w:cs="仿宋"/>
          <w:sz w:val="30"/>
          <w:szCs w:val="30"/>
        </w:rPr>
        <w:t>一般公共预算拨款</w:t>
      </w:r>
      <w:r>
        <w:rPr>
          <w:rFonts w:hint="eastAsia" w:ascii="仿宋" w:hAnsi="仿宋" w:eastAsia="仿宋" w:cs="仿宋"/>
          <w:bCs/>
          <w:color w:val="111111"/>
          <w:kern w:val="0"/>
          <w:sz w:val="30"/>
          <w:szCs w:val="30"/>
        </w:rPr>
        <w:t>：</w:t>
      </w:r>
      <w:r>
        <w:rPr>
          <w:rFonts w:hint="eastAsia" w:ascii="仿宋" w:hAnsi="仿宋" w:eastAsia="仿宋" w:cs="仿宋"/>
          <w:color w:val="111111"/>
          <w:kern w:val="0"/>
          <w:sz w:val="30"/>
          <w:szCs w:val="30"/>
        </w:rPr>
        <w:t>指单位本年度从区级财政部门取得的财政拨款。</w:t>
      </w:r>
    </w:p>
    <w:p>
      <w:pPr>
        <w:widowControl/>
        <w:spacing w:line="360" w:lineRule="auto"/>
        <w:ind w:firstLine="600" w:firstLineChars="200"/>
        <w:jc w:val="left"/>
        <w:rPr>
          <w:rFonts w:ascii="仿宋" w:hAnsi="仿宋" w:eastAsia="仿宋" w:cs="仿宋"/>
          <w:i/>
          <w:iCs/>
          <w:color w:val="111111"/>
          <w:kern w:val="0"/>
          <w:sz w:val="30"/>
          <w:szCs w:val="30"/>
        </w:rPr>
      </w:pPr>
      <w:r>
        <w:rPr>
          <w:rFonts w:hint="eastAsia" w:ascii="仿宋" w:hAnsi="仿宋" w:eastAsia="仿宋" w:cs="仿宋"/>
          <w:bCs/>
          <w:color w:val="111111"/>
          <w:kern w:val="0"/>
          <w:sz w:val="30"/>
          <w:szCs w:val="30"/>
        </w:rPr>
        <w:t>事业收入：</w:t>
      </w:r>
      <w:r>
        <w:rPr>
          <w:rFonts w:hint="eastAsia" w:ascii="仿宋" w:hAnsi="仿宋" w:eastAsia="仿宋" w:cs="仿宋"/>
          <w:color w:val="111111"/>
          <w:kern w:val="0"/>
          <w:sz w:val="30"/>
          <w:szCs w:val="30"/>
        </w:rPr>
        <w:t>指事业单位开展专业业务活动及其辅助活动取得的收入，事业单位收到的财政专户实际核拨的教育收费等资金在此反映。</w:t>
      </w:r>
    </w:p>
    <w:p>
      <w:pPr>
        <w:widowControl/>
        <w:spacing w:line="360" w:lineRule="auto"/>
        <w:ind w:firstLine="645"/>
        <w:jc w:val="left"/>
        <w:rPr>
          <w:rFonts w:ascii="仿宋" w:hAnsi="仿宋" w:eastAsia="仿宋" w:cs="仿宋"/>
          <w:color w:val="111111"/>
          <w:kern w:val="0"/>
          <w:sz w:val="30"/>
          <w:szCs w:val="30"/>
        </w:rPr>
      </w:pPr>
      <w:r>
        <w:rPr>
          <w:rFonts w:hint="eastAsia" w:ascii="仿宋" w:hAnsi="仿宋" w:eastAsia="仿宋" w:cs="仿宋"/>
          <w:bCs/>
          <w:color w:val="111111"/>
          <w:kern w:val="0"/>
          <w:sz w:val="30"/>
          <w:szCs w:val="30"/>
        </w:rPr>
        <w:t>其他收入：</w:t>
      </w:r>
      <w:r>
        <w:rPr>
          <w:rFonts w:hint="eastAsia" w:ascii="仿宋" w:hAnsi="仿宋" w:eastAsia="仿宋" w:cs="仿宋"/>
          <w:color w:val="111111"/>
          <w:kern w:val="0"/>
          <w:sz w:val="30"/>
          <w:szCs w:val="30"/>
        </w:rPr>
        <w:t>指单位取得的除上述“财政拨款收入”、“事业收入”、“经营收入”等以外的各项收入。</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用事业基金弥补收支差额：</w:t>
      </w:r>
      <w:r>
        <w:rPr>
          <w:rFonts w:hint="eastAsia" w:ascii="仿宋" w:hAnsi="仿宋" w:eastAsia="仿宋" w:cs="仿宋"/>
          <w:color w:val="111111"/>
          <w:kern w:val="0"/>
          <w:sz w:val="30"/>
          <w:szCs w:val="30"/>
        </w:rPr>
        <w:t>指事业单位用事业基金弥补当年收支差额的数额。 </w:t>
      </w:r>
    </w:p>
    <w:p>
      <w:pPr>
        <w:widowControl/>
        <w:spacing w:line="360" w:lineRule="auto"/>
        <w:jc w:val="left"/>
        <w:rPr>
          <w:rFonts w:ascii="仿宋" w:hAnsi="仿宋" w:eastAsia="仿宋" w:cs="仿宋"/>
          <w:color w:val="111111"/>
          <w:kern w:val="0"/>
          <w:sz w:val="30"/>
          <w:szCs w:val="30"/>
        </w:rPr>
      </w:pPr>
      <w:r>
        <w:rPr>
          <w:rFonts w:hint="eastAsia" w:ascii="仿宋" w:hAnsi="仿宋" w:eastAsia="仿宋" w:cs="仿宋"/>
          <w:color w:val="111111"/>
          <w:kern w:val="0"/>
          <w:sz w:val="30"/>
          <w:szCs w:val="30"/>
        </w:rPr>
        <w:t>　　</w:t>
      </w:r>
      <w:r>
        <w:rPr>
          <w:rFonts w:hint="eastAsia" w:ascii="仿宋" w:hAnsi="仿宋" w:eastAsia="仿宋" w:cs="仿宋"/>
          <w:bCs/>
          <w:color w:val="111111"/>
          <w:kern w:val="0"/>
          <w:sz w:val="30"/>
          <w:szCs w:val="30"/>
        </w:rPr>
        <w:t>年初结转和结余：</w:t>
      </w:r>
      <w:r>
        <w:rPr>
          <w:rFonts w:hint="eastAsia" w:ascii="仿宋" w:hAnsi="仿宋" w:eastAsia="仿宋" w:cs="仿宋"/>
          <w:color w:val="111111"/>
          <w:kern w:val="0"/>
          <w:sz w:val="30"/>
          <w:szCs w:val="30"/>
        </w:rPr>
        <w:t>指单位上年结转本年使用的基本支出结转、项目支出结转和结余和经营结余。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年末结转和结余资金：指本年度或以前年度预算安排、因客观条件发生变化无法按原计划实施，需要延迟到以后年度按有关规定继续使用的资金。</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一般公共财政预算收入：指政府为履行职能，按国家法律、法规规定收取的纳入预算内管理的各项税收（地方留成部分）及非税收入总和（不包含基金收入）。</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一般公共财政预算支出：反映公共财政预算收入安排的支出。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xml:space="preserve">    公共财政预算支出按照功能分类（按政府活动的社会职能和政策目标划分），包括：一般公共服务、外交、公共安全、国防、农业、环境保护、教育、科技、文化、卫生、体育、社会保障及就业支出和其他支出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公共财政预算支出按照经济性质分类（按支出的经济性质和具体用途划分），包括：工资福利支出、商品和服务支出、资本性支出和其他支出等。具体科目及名词解释如下：</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工资福利支出：反映单位开支的在职职工和编制外长期聘用人员的各类劳动报酬，以及为上述人员缴纳的各项社会保险费等。</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商品和服务支出：反映单位购买商品和服务的支出（不包括用于购置固定资产的支出、战略性和应急储备支出，但军事方面的耐用消费品和设备的购置费、军事性建设费及军事建筑物的购置费等在本科目中反映）。</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对个人和家庭的补助：反映政府用于对个人和家庭的补助支出。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政府性基金预算：对依照法律、行政法规的规定，在一定期限内向特定对象征收、收取或者其他方式筹集的资金，专项用于特定公共事业发展的收支预算。</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收入：指各级政府及其所属部门根据法律、行政法规和国务院有关文件规定，为支持某项特定公共事业发展，向公民、法人和其他组织无偿征收的具有专项用途的财政资金。基金收入纳入预算内管理，专款专用，余额结转下年继续使用。</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　　政府性基金支出：反映政府基金收入按排的支出。</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基本支出：指为保障机构正常运转、完成日常工作任务而发生的人员支出和公用支出。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项目支出：指在基本支出之外为完成特定的行政任务或事业发展目标所发生的支出。</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三公”经费：指区级部门用一般公共预算财政拨款安排的因公出国（境）费、公务用车购置及运行费和公务接待费。其中，因公出国（境）费指单位公务出国（境）的住宿费、旅费、伙食补助费、杂费、培训费等支出；公务用车购置及运行费指单位公务用车购置费及租用费、燃料费、维修费、过路过桥费、保险费、安全奖励费用等支出；公务接待费指单位按规定开支的各类公务接待（含外宾接待）支出。 </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机关运行经费：指为保障行政单位（含参照公务员法管理的事业单位）运行用于购买货物和服务的各项资金，包括办公费、印刷费、差旅费、会议费、日常维修费、专用材料及办公用房水电费、物业管理费、公务用车运行维护费等。在财政部有明确规定前，“机关运行经费”暂指一般公共预算安排的基本支出中的“商品和服务支出”经费。 </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政府采购：指国家各级政府为从事日常的政务活动或为了满足公共服务的目的，利用国家</w:t>
      </w:r>
      <w:r>
        <w:fldChar w:fldCharType="begin"/>
      </w:r>
      <w:r>
        <w:instrText xml:space="preserve"> HYPERLINK "http://baike.so.com/doc/5716834-5929560.html" \t "_blank" </w:instrText>
      </w:r>
      <w:r>
        <w:fldChar w:fldCharType="separate"/>
      </w:r>
      <w:r>
        <w:rPr>
          <w:rFonts w:hint="eastAsia" w:ascii="仿宋" w:hAnsi="仿宋" w:eastAsia="仿宋" w:cs="仿宋"/>
          <w:bCs/>
          <w:color w:val="111111"/>
          <w:kern w:val="0"/>
          <w:sz w:val="30"/>
          <w:szCs w:val="30"/>
        </w:rPr>
        <w:t>财政性资金</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和政府借款购买货物、工程和服务的行为。政府采购不仅是指具体的</w:t>
      </w:r>
      <w:r>
        <w:fldChar w:fldCharType="begin"/>
      </w:r>
      <w:r>
        <w:instrText xml:space="preserve"> HYPERLINK "http://baike.so.com/doc/4796448-5012566.html" \t "_blank" </w:instrText>
      </w:r>
      <w:r>
        <w:fldChar w:fldCharType="separate"/>
      </w:r>
      <w:r>
        <w:rPr>
          <w:rFonts w:hint="eastAsia" w:ascii="仿宋" w:hAnsi="仿宋" w:eastAsia="仿宋" w:cs="仿宋"/>
          <w:bCs/>
          <w:color w:val="111111"/>
          <w:kern w:val="0"/>
          <w:sz w:val="30"/>
          <w:szCs w:val="30"/>
        </w:rPr>
        <w:t>采购过程</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，而且是采购政策、采购程序、采购过程及采购管理的总称，是一种对公共采购管理的制度。</w:t>
      </w:r>
      <w:r>
        <w:rPr>
          <w:rFonts w:hint="eastAsia" w:ascii="仿宋" w:hAnsi="仿宋" w:eastAsia="仿宋" w:cs="仿宋"/>
          <w:bCs/>
          <w:color w:val="111111"/>
          <w:kern w:val="0"/>
          <w:sz w:val="30"/>
          <w:szCs w:val="30"/>
        </w:rPr>
        <w:br w:type="textWrapping"/>
      </w:r>
      <w:r>
        <w:rPr>
          <w:rFonts w:hint="eastAsia" w:ascii="仿宋" w:hAnsi="仿宋" w:eastAsia="仿宋" w:cs="仿宋"/>
          <w:bCs/>
          <w:color w:val="111111"/>
          <w:kern w:val="0"/>
          <w:sz w:val="30"/>
          <w:szCs w:val="30"/>
        </w:rPr>
        <w:t>国有资产：国有资产是法律上确定为国家所有并能为国家提供经济和</w:t>
      </w:r>
      <w:r>
        <w:fldChar w:fldCharType="begin"/>
      </w:r>
      <w:r>
        <w:instrText xml:space="preserve"> HYPERLINK "http://baike.so.com/doc/741806-785246.html" \t "_blank" </w:instrText>
      </w:r>
      <w:r>
        <w:fldChar w:fldCharType="separate"/>
      </w:r>
      <w:r>
        <w:rPr>
          <w:rFonts w:hint="eastAsia" w:ascii="仿宋" w:hAnsi="仿宋" w:eastAsia="仿宋" w:cs="仿宋"/>
          <w:bCs/>
          <w:color w:val="111111"/>
          <w:kern w:val="0"/>
          <w:sz w:val="30"/>
          <w:szCs w:val="30"/>
        </w:rPr>
        <w:t>社会效益</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的各种</w:t>
      </w:r>
      <w:r>
        <w:fldChar w:fldCharType="begin"/>
      </w:r>
      <w:r>
        <w:instrText xml:space="preserve"> HYPERLINK "http://baike.so.com/doc/7798608-8072703.html" \t "_blank" </w:instrText>
      </w:r>
      <w:r>
        <w:fldChar w:fldCharType="separate"/>
      </w:r>
      <w:r>
        <w:rPr>
          <w:rFonts w:hint="eastAsia" w:ascii="仿宋" w:hAnsi="仿宋" w:eastAsia="仿宋" w:cs="仿宋"/>
          <w:bCs/>
          <w:color w:val="111111"/>
          <w:kern w:val="0"/>
          <w:sz w:val="30"/>
          <w:szCs w:val="30"/>
        </w:rPr>
        <w:t>经济资源</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的总和。就是属于国家所有的一切</w:t>
      </w:r>
      <w:r>
        <w:fldChar w:fldCharType="begin"/>
      </w:r>
      <w:r>
        <w:instrText xml:space="preserve"> HYPERLINK "http://baike.so.com/doc/5368106-5603892.html" \t "_blank" </w:instrText>
      </w:r>
      <w:r>
        <w:fldChar w:fldCharType="separate"/>
      </w:r>
      <w:r>
        <w:rPr>
          <w:rFonts w:hint="eastAsia" w:ascii="仿宋" w:hAnsi="仿宋" w:eastAsia="仿宋" w:cs="仿宋"/>
          <w:bCs/>
          <w:color w:val="111111"/>
          <w:kern w:val="0"/>
          <w:sz w:val="30"/>
          <w:szCs w:val="30"/>
        </w:rPr>
        <w:t>财产</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和财</w:t>
      </w:r>
      <w:r>
        <w:fldChar w:fldCharType="begin"/>
      </w:r>
      <w:r>
        <w:instrText xml:space="preserve"> HYPERLINK "http://baike.so.com/doc/5399886-5637441.html" \t "_blank" </w:instrText>
      </w:r>
      <w:r>
        <w:fldChar w:fldCharType="separate"/>
      </w:r>
      <w:r>
        <w:rPr>
          <w:rFonts w:hint="eastAsia" w:ascii="仿宋" w:hAnsi="仿宋" w:eastAsia="仿宋" w:cs="仿宋"/>
          <w:bCs/>
          <w:color w:val="111111"/>
          <w:kern w:val="0"/>
          <w:sz w:val="30"/>
          <w:szCs w:val="30"/>
        </w:rPr>
        <w:t>产权</w:t>
      </w:r>
      <w:r>
        <w:rPr>
          <w:rFonts w:hint="eastAsia" w:ascii="仿宋" w:hAnsi="仿宋" w:eastAsia="仿宋" w:cs="仿宋"/>
          <w:bCs/>
          <w:color w:val="111111"/>
          <w:kern w:val="0"/>
          <w:sz w:val="30"/>
          <w:szCs w:val="30"/>
        </w:rPr>
        <w:fldChar w:fldCharType="end"/>
      </w:r>
      <w:r>
        <w:rPr>
          <w:rFonts w:hint="eastAsia" w:ascii="仿宋" w:hAnsi="仿宋" w:eastAsia="仿宋" w:cs="仿宋"/>
          <w:bCs/>
          <w:color w:val="111111"/>
          <w:kern w:val="0"/>
          <w:sz w:val="30"/>
          <w:szCs w:val="30"/>
        </w:rPr>
        <w:t>利的总称。 行政事业资产是指由行政事业单位占有、使用的、在法律上确认为国家所有、能以货币计量的各种经济资源的总和，包括国家拨给行政事业单位的资产，行政事业单位按照国家政策规定运用国有资产组织收入形成的资产，以及接受捐赠和其他经法律确认为国家所有的资产。行政事业资产的表现形式为；流动资产、长期投资、固定资产、无形资产和其他资产。</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预算绩效：是指政府或相关部门按照财政效率的原则，通过绩效指标以及目标管理对部门内部或者单位的财政支出做出客观、公正、公平的评价和决策。2005年5月财政部出台了《中央部门预算支出绩效评价管理办法（试行）》（财预[2005]86号）中将部门预算绩效评价定义为：运用一定的考核方法、量化指标及评价标准，对中央部门为实现其职能所确定绩效目标的实现程度，以及为实现这一目标安排预算的执行结果所进行的综合性考核与评价。　</w:t>
      </w:r>
    </w:p>
    <w:p>
      <w:pPr>
        <w:widowControl/>
        <w:spacing w:line="360" w:lineRule="auto"/>
        <w:ind w:firstLine="600" w:firstLineChars="200"/>
        <w:jc w:val="left"/>
        <w:rPr>
          <w:rFonts w:ascii="仿宋" w:hAnsi="仿宋" w:eastAsia="仿宋" w:cs="仿宋"/>
          <w:bCs/>
          <w:color w:val="111111"/>
          <w:kern w:val="0"/>
          <w:sz w:val="30"/>
          <w:szCs w:val="30"/>
        </w:rPr>
      </w:pP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附件：2018年度部门决算公开表格</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收入决算表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财政拨款收入支出决算总表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一般公共预算财政拨款基本支出决算表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一般公共预算财政拨款“三公”经费支出决算表</w:t>
      </w:r>
    </w:p>
    <w:p>
      <w:pPr>
        <w:widowControl/>
        <w:spacing w:line="360" w:lineRule="auto"/>
        <w:ind w:firstLine="600" w:firstLineChars="200"/>
        <w:jc w:val="left"/>
        <w:rPr>
          <w:rFonts w:ascii="仿宋" w:hAnsi="仿宋" w:eastAsia="仿宋" w:cs="仿宋"/>
          <w:bCs/>
          <w:color w:val="111111"/>
          <w:kern w:val="0"/>
          <w:sz w:val="30"/>
          <w:szCs w:val="30"/>
        </w:rPr>
      </w:pPr>
      <w:r>
        <w:rPr>
          <w:rFonts w:hint="eastAsia" w:ascii="仿宋" w:hAnsi="仿宋" w:eastAsia="仿宋" w:cs="仿宋"/>
          <w:bCs/>
          <w:color w:val="111111"/>
          <w:kern w:val="0"/>
          <w:sz w:val="30"/>
          <w:szCs w:val="30"/>
        </w:rPr>
        <w:t>政府性基金预算财政拨款收入支出决算表</w:t>
      </w:r>
    </w:p>
    <w:p>
      <w:pPr>
        <w:widowControl/>
        <w:spacing w:line="360" w:lineRule="auto"/>
        <w:ind w:firstLine="600" w:firstLineChars="200"/>
        <w:jc w:val="left"/>
        <w:rPr>
          <w:rFonts w:ascii="仿宋" w:hAnsi="仿宋" w:eastAsia="仿宋" w:cs="仿宋"/>
          <w:bCs/>
          <w:color w:val="111111"/>
          <w:kern w:val="0"/>
          <w:sz w:val="30"/>
          <w:szCs w:val="30"/>
        </w:rPr>
      </w:pPr>
    </w:p>
    <w:p>
      <w:pPr>
        <w:widowControl/>
        <w:spacing w:line="360" w:lineRule="auto"/>
        <w:ind w:firstLine="600" w:firstLineChars="200"/>
        <w:jc w:val="left"/>
        <w:rPr>
          <w:rFonts w:ascii="仿宋" w:hAnsi="仿宋" w:eastAsia="仿宋" w:cs="仿宋"/>
          <w:bCs/>
          <w:color w:val="111111"/>
          <w:kern w:val="0"/>
          <w:sz w:val="30"/>
          <w:szCs w:val="30"/>
        </w:rPr>
      </w:pPr>
    </w:p>
    <w:p>
      <w:pPr>
        <w:spacing w:line="360" w:lineRule="auto"/>
        <w:ind w:firstLine="600" w:firstLineChars="200"/>
        <w:rPr>
          <w:rFonts w:ascii="仿宋" w:hAnsi="仿宋" w:eastAsia="仿宋" w:cs="仿宋"/>
          <w:kern w:val="0"/>
          <w:sz w:val="30"/>
          <w:szCs w:val="30"/>
        </w:rPr>
      </w:pPr>
    </w:p>
    <w:p>
      <w:pPr>
        <w:spacing w:line="360" w:lineRule="auto"/>
        <w:rPr>
          <w:rFonts w:ascii="仿宋" w:hAnsi="仿宋" w:eastAsia="仿宋" w:cs="仿宋"/>
        </w:rPr>
      </w:pPr>
    </w:p>
    <w:sectPr>
      <w:footerReference r:id="rId3" w:type="default"/>
      <w:footerReference r:id="rId4" w:type="even"/>
      <w:pgSz w:w="11906" w:h="16838"/>
      <w:pgMar w:top="1418" w:right="1418" w:bottom="1418" w:left="1418" w:header="851" w:footer="992" w:gutter="0"/>
      <w:pgNumType w:fmt="numberInDash"/>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A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仿宋_GB2312">
    <w:altName w:val="仿宋"/>
    <w:panose1 w:val="00000000000000000000"/>
    <w:charset w:val="86"/>
    <w:family w:val="modern"/>
    <w:pitch w:val="default"/>
    <w:sig w:usb0="00000000" w:usb1="00000000" w:usb2="00000000" w:usb3="00000000" w:csb0="00040000" w:csb1="00000000"/>
  </w:font>
  <w:font w:name="微软雅黑">
    <w:panose1 w:val="020B0503020204020204"/>
    <w:charset w:val="86"/>
    <w:family w:val="swiss"/>
    <w:pitch w:val="default"/>
    <w:sig w:usb0="80000287" w:usb1="2ACF3C50" w:usb2="00000016" w:usb3="00000000" w:csb0="0004001F" w:csb1="00000000"/>
  </w:font>
  <w:font w:name="楷体_GB2312">
    <w:altName w:val="楷体"/>
    <w:panose1 w:val="00000000000000000000"/>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Fonts w:ascii="宋体" w:hAnsi="宋体"/>
        <w:sz w:val="24"/>
        <w:szCs w:val="24"/>
      </w:rPr>
    </w:pPr>
    <w:r>
      <w:rPr>
        <w:rFonts w:ascii="宋体" w:hAnsi="宋体"/>
        <w:sz w:val="24"/>
        <w:szCs w:val="24"/>
      </w:rPr>
      <w:fldChar w:fldCharType="begin"/>
    </w:r>
    <w:r>
      <w:rPr>
        <w:rStyle w:val="8"/>
        <w:rFonts w:ascii="宋体" w:hAnsi="宋体"/>
        <w:sz w:val="24"/>
        <w:szCs w:val="24"/>
      </w:rPr>
      <w:instrText xml:space="preserve">PAGE  </w:instrText>
    </w:r>
    <w:r>
      <w:rPr>
        <w:rFonts w:ascii="宋体" w:hAnsi="宋体"/>
        <w:sz w:val="24"/>
        <w:szCs w:val="24"/>
      </w:rPr>
      <w:fldChar w:fldCharType="separate"/>
    </w:r>
    <w:r>
      <w:rPr>
        <w:rStyle w:val="8"/>
        <w:rFonts w:ascii="宋体" w:hAnsi="宋体"/>
        <w:sz w:val="24"/>
        <w:szCs w:val="24"/>
      </w:rPr>
      <w:t>- 8 -</w:t>
    </w:r>
    <w:r>
      <w:rPr>
        <w:rFonts w:ascii="宋体" w:hAnsi="宋体"/>
        <w:sz w:val="24"/>
        <w:szCs w:val="24"/>
      </w:rPr>
      <w:fldChar w:fldCharType="end"/>
    </w:r>
  </w:p>
  <w:p>
    <w:pPr>
      <w:pStyle w:val="2"/>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center" w:y="1"/>
      <w:rPr>
        <w:rStyle w:val="8"/>
      </w:rPr>
    </w:pPr>
    <w:r>
      <w:fldChar w:fldCharType="begin"/>
    </w:r>
    <w:r>
      <w:rPr>
        <w:rStyle w:val="8"/>
      </w:rPr>
      <w:instrText xml:space="preserve">PAGE  </w:instrText>
    </w:r>
    <w:r>
      <w:fldChar w:fldCharType="end"/>
    </w:r>
  </w:p>
  <w:p>
    <w:pPr>
      <w:pStyle w:val="2"/>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7A5160"/>
    <w:multiLevelType w:val="multilevel"/>
    <w:tmpl w:val="057A5160"/>
    <w:lvl w:ilvl="0" w:tentative="0">
      <w:start w:val="1"/>
      <w:numFmt w:val="decimal"/>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1">
    <w:nsid w:val="0F462B5D"/>
    <w:multiLevelType w:val="multilevel"/>
    <w:tmpl w:val="0F462B5D"/>
    <w:lvl w:ilvl="0" w:tentative="0">
      <w:start w:val="1"/>
      <w:numFmt w:val="japaneseCounting"/>
      <w:lvlText w:val="%1、"/>
      <w:lvlJc w:val="left"/>
      <w:pPr>
        <w:tabs>
          <w:tab w:val="left" w:pos="720"/>
        </w:tabs>
        <w:ind w:left="720" w:hanging="720"/>
      </w:pPr>
      <w:rPr>
        <w:rFonts w:hint="default"/>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
    <w:nsid w:val="53AA4C5C"/>
    <w:multiLevelType w:val="singleLevel"/>
    <w:tmpl w:val="53AA4C5C"/>
    <w:lvl w:ilvl="0" w:tentative="0">
      <w:start w:val="3"/>
      <w:numFmt w:val="chineseCounting"/>
      <w:suff w:val="space"/>
      <w:lvlText w:val="第%1部分"/>
      <w:lvlJc w:val="left"/>
      <w:rPr>
        <w:rFonts w:hint="eastAsia"/>
      </w:rPr>
    </w:lvl>
  </w:abstractNum>
  <w:abstractNum w:abstractNumId="3">
    <w:nsid w:val="5AC23210"/>
    <w:multiLevelType w:val="singleLevel"/>
    <w:tmpl w:val="5AC23210"/>
    <w:lvl w:ilvl="0" w:tentative="0">
      <w:start w:val="1"/>
      <w:numFmt w:val="chineseCounting"/>
      <w:suff w:val="nothing"/>
      <w:lvlText w:val="（%1）"/>
      <w:lvlJc w:val="left"/>
    </w:lvl>
  </w:abstractNum>
  <w:abstractNum w:abstractNumId="4">
    <w:nsid w:val="5D75BB9F"/>
    <w:multiLevelType w:val="singleLevel"/>
    <w:tmpl w:val="5D75BB9F"/>
    <w:lvl w:ilvl="0" w:tentative="0">
      <w:start w:val="1"/>
      <w:numFmt w:val="chineseCounting"/>
      <w:suff w:val="nothing"/>
      <w:lvlText w:val="%1、"/>
      <w:lvlJc w:val="left"/>
    </w:lvl>
  </w:abstractNum>
  <w:abstractNum w:abstractNumId="5">
    <w:nsid w:val="5D7EDA3B"/>
    <w:multiLevelType w:val="singleLevel"/>
    <w:tmpl w:val="5D7EDA3B"/>
    <w:lvl w:ilvl="0" w:tentative="0">
      <w:start w:val="9"/>
      <w:numFmt w:val="chineseCounting"/>
      <w:suff w:val="nothing"/>
      <w:lvlText w:val="%1、"/>
      <w:lvlJc w:val="left"/>
    </w:lvl>
  </w:abstractNum>
  <w:num w:numId="1">
    <w:abstractNumId w:val="1"/>
  </w:num>
  <w:num w:numId="2">
    <w:abstractNumId w:val="2"/>
  </w:num>
  <w:num w:numId="3">
    <w:abstractNumId w:val="0"/>
  </w:num>
  <w:num w:numId="4">
    <w:abstractNumId w:val="4"/>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0"/>
  <w:embedSystemFonts/>
  <w:attachedTemplate r:id="rId1"/>
  <w:documentProtection w:enforcement="0"/>
  <w:defaultTabStop w:val="420"/>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2"/>
  </w:compat>
  <w:rsids>
    <w:rsidRoot w:val="141522A4"/>
    <w:rsid w:val="0007286F"/>
    <w:rsid w:val="002D25FE"/>
    <w:rsid w:val="00412713"/>
    <w:rsid w:val="004D28BB"/>
    <w:rsid w:val="005261BC"/>
    <w:rsid w:val="005A2A03"/>
    <w:rsid w:val="00633CDC"/>
    <w:rsid w:val="00644194"/>
    <w:rsid w:val="0075293F"/>
    <w:rsid w:val="008557E7"/>
    <w:rsid w:val="00BF0AE9"/>
    <w:rsid w:val="00CC63A7"/>
    <w:rsid w:val="00E15469"/>
    <w:rsid w:val="00E65053"/>
    <w:rsid w:val="02056C4D"/>
    <w:rsid w:val="023F13DB"/>
    <w:rsid w:val="026066D5"/>
    <w:rsid w:val="029224CF"/>
    <w:rsid w:val="032D5CC6"/>
    <w:rsid w:val="03456C94"/>
    <w:rsid w:val="036A7041"/>
    <w:rsid w:val="0372233B"/>
    <w:rsid w:val="037D750B"/>
    <w:rsid w:val="03CD392E"/>
    <w:rsid w:val="04101647"/>
    <w:rsid w:val="04DF25D8"/>
    <w:rsid w:val="058F3CD4"/>
    <w:rsid w:val="061D3241"/>
    <w:rsid w:val="06265BAD"/>
    <w:rsid w:val="06EE4F18"/>
    <w:rsid w:val="075B29A0"/>
    <w:rsid w:val="07874C92"/>
    <w:rsid w:val="084670B2"/>
    <w:rsid w:val="08A3498B"/>
    <w:rsid w:val="08F04202"/>
    <w:rsid w:val="090E785C"/>
    <w:rsid w:val="092248D9"/>
    <w:rsid w:val="093B0FC9"/>
    <w:rsid w:val="09561265"/>
    <w:rsid w:val="099C4029"/>
    <w:rsid w:val="09B50255"/>
    <w:rsid w:val="09E539AA"/>
    <w:rsid w:val="0A11221C"/>
    <w:rsid w:val="0A220A86"/>
    <w:rsid w:val="0ABC48D5"/>
    <w:rsid w:val="0ACA3F20"/>
    <w:rsid w:val="0B3324B9"/>
    <w:rsid w:val="0B65121C"/>
    <w:rsid w:val="0BC654D1"/>
    <w:rsid w:val="0CD159E4"/>
    <w:rsid w:val="0D246A78"/>
    <w:rsid w:val="0D410992"/>
    <w:rsid w:val="0D5E7D65"/>
    <w:rsid w:val="0E1A3CAC"/>
    <w:rsid w:val="10655A3A"/>
    <w:rsid w:val="111937AD"/>
    <w:rsid w:val="124A2012"/>
    <w:rsid w:val="141522A4"/>
    <w:rsid w:val="145C1DAC"/>
    <w:rsid w:val="145E21B2"/>
    <w:rsid w:val="149D7C22"/>
    <w:rsid w:val="14C16853"/>
    <w:rsid w:val="15CE4E6C"/>
    <w:rsid w:val="16292D38"/>
    <w:rsid w:val="164964BC"/>
    <w:rsid w:val="16BC76C9"/>
    <w:rsid w:val="16EA1D4C"/>
    <w:rsid w:val="17A60DC6"/>
    <w:rsid w:val="180D60E6"/>
    <w:rsid w:val="18D1043D"/>
    <w:rsid w:val="18F92BD2"/>
    <w:rsid w:val="19663C21"/>
    <w:rsid w:val="19722A55"/>
    <w:rsid w:val="19AC136C"/>
    <w:rsid w:val="1A2C2747"/>
    <w:rsid w:val="1A8E2AE4"/>
    <w:rsid w:val="1AFB35A7"/>
    <w:rsid w:val="1B0A0091"/>
    <w:rsid w:val="1B324E77"/>
    <w:rsid w:val="1B62795A"/>
    <w:rsid w:val="1B7541AC"/>
    <w:rsid w:val="1BB90A3E"/>
    <w:rsid w:val="1BCA16D9"/>
    <w:rsid w:val="1C1E0652"/>
    <w:rsid w:val="1C2527A8"/>
    <w:rsid w:val="1C3521E8"/>
    <w:rsid w:val="1DD71951"/>
    <w:rsid w:val="1E3E4241"/>
    <w:rsid w:val="1E7E4DD1"/>
    <w:rsid w:val="1EE81910"/>
    <w:rsid w:val="1F096E9E"/>
    <w:rsid w:val="209730DE"/>
    <w:rsid w:val="20A7189B"/>
    <w:rsid w:val="20DE39CC"/>
    <w:rsid w:val="21585A77"/>
    <w:rsid w:val="21965ECE"/>
    <w:rsid w:val="21B4059F"/>
    <w:rsid w:val="222608DB"/>
    <w:rsid w:val="225125A5"/>
    <w:rsid w:val="22897FD1"/>
    <w:rsid w:val="229E246E"/>
    <w:rsid w:val="22B54AA2"/>
    <w:rsid w:val="234D0F55"/>
    <w:rsid w:val="23C62C14"/>
    <w:rsid w:val="23EB4166"/>
    <w:rsid w:val="241C6F4C"/>
    <w:rsid w:val="243B6E0E"/>
    <w:rsid w:val="246F00D9"/>
    <w:rsid w:val="249A1586"/>
    <w:rsid w:val="258B1D72"/>
    <w:rsid w:val="25D0378A"/>
    <w:rsid w:val="25FA0DB4"/>
    <w:rsid w:val="26241031"/>
    <w:rsid w:val="262D370B"/>
    <w:rsid w:val="26B10EFE"/>
    <w:rsid w:val="277C33F5"/>
    <w:rsid w:val="27AA352E"/>
    <w:rsid w:val="28080359"/>
    <w:rsid w:val="28415CB2"/>
    <w:rsid w:val="284819BC"/>
    <w:rsid w:val="285C7260"/>
    <w:rsid w:val="293B5244"/>
    <w:rsid w:val="296524ED"/>
    <w:rsid w:val="2A675CA6"/>
    <w:rsid w:val="2B2D1149"/>
    <w:rsid w:val="2BD33C97"/>
    <w:rsid w:val="2C2439A5"/>
    <w:rsid w:val="2D8B3C93"/>
    <w:rsid w:val="2E6D2193"/>
    <w:rsid w:val="2F494622"/>
    <w:rsid w:val="2F574F68"/>
    <w:rsid w:val="2FA56B72"/>
    <w:rsid w:val="2FA8566D"/>
    <w:rsid w:val="2FF44D1F"/>
    <w:rsid w:val="301E1A57"/>
    <w:rsid w:val="305A001C"/>
    <w:rsid w:val="30D01C13"/>
    <w:rsid w:val="312D1038"/>
    <w:rsid w:val="31431466"/>
    <w:rsid w:val="31B12627"/>
    <w:rsid w:val="31B14F25"/>
    <w:rsid w:val="32117BFA"/>
    <w:rsid w:val="33A52EDF"/>
    <w:rsid w:val="33B00D4E"/>
    <w:rsid w:val="33B30709"/>
    <w:rsid w:val="33D52F52"/>
    <w:rsid w:val="342D1FD0"/>
    <w:rsid w:val="347F1DF5"/>
    <w:rsid w:val="348148BB"/>
    <w:rsid w:val="349E4F95"/>
    <w:rsid w:val="353D309D"/>
    <w:rsid w:val="354B0485"/>
    <w:rsid w:val="359D1E5E"/>
    <w:rsid w:val="35A27AEB"/>
    <w:rsid w:val="35D376B6"/>
    <w:rsid w:val="363D1DEA"/>
    <w:rsid w:val="36864B31"/>
    <w:rsid w:val="36A976DC"/>
    <w:rsid w:val="36B46223"/>
    <w:rsid w:val="36DD41C9"/>
    <w:rsid w:val="371668A7"/>
    <w:rsid w:val="376B06D5"/>
    <w:rsid w:val="37AF46C9"/>
    <w:rsid w:val="37DD3D7B"/>
    <w:rsid w:val="380E2783"/>
    <w:rsid w:val="38A67532"/>
    <w:rsid w:val="38B91545"/>
    <w:rsid w:val="3942192D"/>
    <w:rsid w:val="395039EC"/>
    <w:rsid w:val="397015C0"/>
    <w:rsid w:val="39AA7758"/>
    <w:rsid w:val="39C905DA"/>
    <w:rsid w:val="3A1671FA"/>
    <w:rsid w:val="3A7817E8"/>
    <w:rsid w:val="3B560162"/>
    <w:rsid w:val="3B6067D0"/>
    <w:rsid w:val="3B786C9E"/>
    <w:rsid w:val="3BDC189F"/>
    <w:rsid w:val="3BED1019"/>
    <w:rsid w:val="3C56526F"/>
    <w:rsid w:val="3CAC750F"/>
    <w:rsid w:val="3CB6492A"/>
    <w:rsid w:val="3CC101FD"/>
    <w:rsid w:val="3CD320A6"/>
    <w:rsid w:val="3D0E0C91"/>
    <w:rsid w:val="3D1D5B1A"/>
    <w:rsid w:val="3DC2625E"/>
    <w:rsid w:val="3DCC19E5"/>
    <w:rsid w:val="3DED2837"/>
    <w:rsid w:val="3E0C4CB4"/>
    <w:rsid w:val="3E2F7465"/>
    <w:rsid w:val="3E890E84"/>
    <w:rsid w:val="3EF617B7"/>
    <w:rsid w:val="3F1B0D68"/>
    <w:rsid w:val="3FAF30EC"/>
    <w:rsid w:val="3FCF46D7"/>
    <w:rsid w:val="3FDC3CEB"/>
    <w:rsid w:val="40004AE5"/>
    <w:rsid w:val="4049017B"/>
    <w:rsid w:val="40C60AA1"/>
    <w:rsid w:val="41452265"/>
    <w:rsid w:val="419732B8"/>
    <w:rsid w:val="42BD15F0"/>
    <w:rsid w:val="42C0261B"/>
    <w:rsid w:val="43342B06"/>
    <w:rsid w:val="45114AD5"/>
    <w:rsid w:val="454D033D"/>
    <w:rsid w:val="454D1830"/>
    <w:rsid w:val="455C498F"/>
    <w:rsid w:val="456626DA"/>
    <w:rsid w:val="457E5F6B"/>
    <w:rsid w:val="469D50B4"/>
    <w:rsid w:val="469F2AFB"/>
    <w:rsid w:val="4752048D"/>
    <w:rsid w:val="47E7503F"/>
    <w:rsid w:val="480B68BA"/>
    <w:rsid w:val="481C5784"/>
    <w:rsid w:val="48E37E88"/>
    <w:rsid w:val="490A248A"/>
    <w:rsid w:val="493B4F8E"/>
    <w:rsid w:val="49F10D10"/>
    <w:rsid w:val="4A7F6176"/>
    <w:rsid w:val="4B292024"/>
    <w:rsid w:val="4BF91344"/>
    <w:rsid w:val="4CE65541"/>
    <w:rsid w:val="4DFF3087"/>
    <w:rsid w:val="4E837D65"/>
    <w:rsid w:val="4EB457CE"/>
    <w:rsid w:val="4ED624CF"/>
    <w:rsid w:val="4EFC0914"/>
    <w:rsid w:val="4F5D4E27"/>
    <w:rsid w:val="4FCA7A0D"/>
    <w:rsid w:val="4FD8218C"/>
    <w:rsid w:val="504618A3"/>
    <w:rsid w:val="51077A2F"/>
    <w:rsid w:val="510E570E"/>
    <w:rsid w:val="510F5285"/>
    <w:rsid w:val="514F7C53"/>
    <w:rsid w:val="51663AB7"/>
    <w:rsid w:val="519D0D67"/>
    <w:rsid w:val="526410F9"/>
    <w:rsid w:val="52DA4F90"/>
    <w:rsid w:val="52E61086"/>
    <w:rsid w:val="530A248E"/>
    <w:rsid w:val="532400E8"/>
    <w:rsid w:val="53DF1E0D"/>
    <w:rsid w:val="547218BE"/>
    <w:rsid w:val="5533174C"/>
    <w:rsid w:val="55750B95"/>
    <w:rsid w:val="55FD2C9C"/>
    <w:rsid w:val="56AE6DA8"/>
    <w:rsid w:val="56BF45D7"/>
    <w:rsid w:val="57744A4E"/>
    <w:rsid w:val="57E32236"/>
    <w:rsid w:val="58091D99"/>
    <w:rsid w:val="58AF2417"/>
    <w:rsid w:val="58B77229"/>
    <w:rsid w:val="595C25FA"/>
    <w:rsid w:val="59857969"/>
    <w:rsid w:val="59F87D38"/>
    <w:rsid w:val="5A2439BE"/>
    <w:rsid w:val="5A3E437B"/>
    <w:rsid w:val="5A693D23"/>
    <w:rsid w:val="5A6B5A90"/>
    <w:rsid w:val="5B50022A"/>
    <w:rsid w:val="5C7A28AC"/>
    <w:rsid w:val="5CDC3175"/>
    <w:rsid w:val="5D6B2104"/>
    <w:rsid w:val="5D9C411E"/>
    <w:rsid w:val="5DBA78EB"/>
    <w:rsid w:val="5E326634"/>
    <w:rsid w:val="5EC53E9C"/>
    <w:rsid w:val="5ECE087A"/>
    <w:rsid w:val="5F070739"/>
    <w:rsid w:val="5F3C4F00"/>
    <w:rsid w:val="601310E5"/>
    <w:rsid w:val="601C7D6A"/>
    <w:rsid w:val="606B1DA7"/>
    <w:rsid w:val="606D372C"/>
    <w:rsid w:val="60FB2217"/>
    <w:rsid w:val="612D4AD1"/>
    <w:rsid w:val="61916FE3"/>
    <w:rsid w:val="61BC32CB"/>
    <w:rsid w:val="62630CA1"/>
    <w:rsid w:val="626A0CEB"/>
    <w:rsid w:val="62974C19"/>
    <w:rsid w:val="62FF022C"/>
    <w:rsid w:val="63144422"/>
    <w:rsid w:val="63441D54"/>
    <w:rsid w:val="640006FF"/>
    <w:rsid w:val="64636829"/>
    <w:rsid w:val="64D83620"/>
    <w:rsid w:val="64E35DF7"/>
    <w:rsid w:val="65505D1E"/>
    <w:rsid w:val="657D0288"/>
    <w:rsid w:val="658855F7"/>
    <w:rsid w:val="65924E36"/>
    <w:rsid w:val="66180DDE"/>
    <w:rsid w:val="668D7F58"/>
    <w:rsid w:val="66A30172"/>
    <w:rsid w:val="66BB423A"/>
    <w:rsid w:val="681A17A6"/>
    <w:rsid w:val="686D0D06"/>
    <w:rsid w:val="689913DD"/>
    <w:rsid w:val="68E328A1"/>
    <w:rsid w:val="69093FDB"/>
    <w:rsid w:val="6917546E"/>
    <w:rsid w:val="69850C5D"/>
    <w:rsid w:val="69C7339C"/>
    <w:rsid w:val="6A05571E"/>
    <w:rsid w:val="6B0A0C3B"/>
    <w:rsid w:val="6B4A2B57"/>
    <w:rsid w:val="6BD702C2"/>
    <w:rsid w:val="6C0C1489"/>
    <w:rsid w:val="6C6F6CF3"/>
    <w:rsid w:val="6CA1218F"/>
    <w:rsid w:val="6D535020"/>
    <w:rsid w:val="6E253E16"/>
    <w:rsid w:val="6E873D36"/>
    <w:rsid w:val="6EB4012D"/>
    <w:rsid w:val="6EE3061B"/>
    <w:rsid w:val="6FB963DE"/>
    <w:rsid w:val="6FF40766"/>
    <w:rsid w:val="70310EB8"/>
    <w:rsid w:val="71B7411E"/>
    <w:rsid w:val="71D37919"/>
    <w:rsid w:val="72DE3D50"/>
    <w:rsid w:val="7366480B"/>
    <w:rsid w:val="73945713"/>
    <w:rsid w:val="7439147C"/>
    <w:rsid w:val="743B1C78"/>
    <w:rsid w:val="74492A3A"/>
    <w:rsid w:val="755D0190"/>
    <w:rsid w:val="7569271E"/>
    <w:rsid w:val="75BE6124"/>
    <w:rsid w:val="75C475DB"/>
    <w:rsid w:val="75E406CC"/>
    <w:rsid w:val="76B41149"/>
    <w:rsid w:val="770254C6"/>
    <w:rsid w:val="77EC3589"/>
    <w:rsid w:val="77FD2102"/>
    <w:rsid w:val="79256D0D"/>
    <w:rsid w:val="799A1446"/>
    <w:rsid w:val="7A3A52C0"/>
    <w:rsid w:val="7B483738"/>
    <w:rsid w:val="7C9B09F8"/>
    <w:rsid w:val="7D2865F7"/>
    <w:rsid w:val="7D456302"/>
    <w:rsid w:val="7D5B6D22"/>
    <w:rsid w:val="7DC032B1"/>
    <w:rsid w:val="7EFE21F5"/>
    <w:rsid w:val="7FB060C7"/>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5">
    <w:name w:val="Normal Table"/>
    <w:semiHidden/>
    <w:unhideWhenUsed/>
    <w:qFormat/>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szCs w:val="18"/>
    </w:rPr>
  </w:style>
  <w:style w:type="paragraph" w:styleId="3">
    <w:name w:val="header"/>
    <w:basedOn w:val="1"/>
    <w:link w:val="11"/>
    <w:uiPriority w:val="0"/>
    <w:pPr>
      <w:pBdr>
        <w:bottom w:val="single" w:color="auto" w:sz="6" w:space="1"/>
      </w:pBdr>
      <w:tabs>
        <w:tab w:val="center" w:pos="4153"/>
        <w:tab w:val="right" w:pos="8306"/>
      </w:tabs>
      <w:snapToGrid w:val="0"/>
      <w:jc w:val="center"/>
    </w:pPr>
    <w:rPr>
      <w:sz w:val="18"/>
      <w:szCs w:val="18"/>
    </w:rPr>
  </w:style>
  <w:style w:type="paragraph" w:styleId="4">
    <w:name w:val="Normal (Web)"/>
    <w:basedOn w:val="1"/>
    <w:qFormat/>
    <w:uiPriority w:val="0"/>
    <w:pPr>
      <w:widowControl/>
      <w:spacing w:beforeAutospacing="1" w:afterAutospacing="1"/>
      <w:jc w:val="left"/>
    </w:pPr>
    <w:rPr>
      <w:rFonts w:ascii="宋体" w:hAnsi="宋体" w:cs="宋体"/>
      <w:kern w:val="0"/>
      <w:sz w:val="24"/>
    </w:rPr>
  </w:style>
  <w:style w:type="character" w:styleId="7">
    <w:name w:val="Strong"/>
    <w:basedOn w:val="6"/>
    <w:qFormat/>
    <w:uiPriority w:val="0"/>
    <w:rPr>
      <w:b/>
    </w:rPr>
  </w:style>
  <w:style w:type="character" w:styleId="8">
    <w:name w:val="page number"/>
    <w:basedOn w:val="6"/>
    <w:qFormat/>
    <w:uiPriority w:val="0"/>
  </w:style>
  <w:style w:type="character" w:styleId="9">
    <w:name w:val="Hyperlink"/>
    <w:qFormat/>
    <w:uiPriority w:val="0"/>
    <w:rPr>
      <w:color w:val="141414"/>
      <w:u w:val="none"/>
    </w:rPr>
  </w:style>
  <w:style w:type="character" w:customStyle="1" w:styleId="10">
    <w:name w:val="apple-converted-space"/>
    <w:basedOn w:val="6"/>
    <w:qFormat/>
    <w:uiPriority w:val="0"/>
  </w:style>
  <w:style w:type="character" w:customStyle="1" w:styleId="11">
    <w:name w:val="页眉 Char"/>
    <w:basedOn w:val="6"/>
    <w:link w:val="3"/>
    <w:uiPriority w:val="0"/>
    <w:rPr>
      <w:kern w:val="2"/>
      <w:sz w:val="18"/>
      <w:szCs w:val="18"/>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strator\AppData\Roaming\Kingsoft\wps\addons\pool\win-i386\knewfileruby_1.0.0.12\template\wps\0.doc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0</Template>
  <Company>Microsoft</Company>
  <Pages>14</Pages>
  <Words>1028</Words>
  <Characters>5866</Characters>
  <Lines>48</Lines>
  <Paragraphs>13</Paragraphs>
  <TotalTime>96</TotalTime>
  <ScaleCrop>false</ScaleCrop>
  <LinksUpToDate>false</LinksUpToDate>
  <CharactersWithSpaces>6881</CharactersWithSpaces>
  <Application>WPS Office_11.1.0.8976_F1E327BC-269C-435d-A152-05C5408002CA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2018-10-03T08:08:00Z</dcterms:created>
  <dc:creator>Administrator</dc:creator>
  <cp:lastModifiedBy>Lenovo</cp:lastModifiedBy>
  <cp:lastPrinted>2018-10-11T04:40:00Z</cp:lastPrinted>
  <dcterms:modified xsi:type="dcterms:W3CDTF">2019-09-21T14:05:13Z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2052-11.1.0.8976</vt:lpwstr>
  </property>
</Properties>
</file>