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sz w:val="44"/>
          <w:szCs w:val="44"/>
        </w:rPr>
      </w:pPr>
      <w:r>
        <w:rPr>
          <w:rFonts w:hint="eastAsia" w:ascii="仿宋" w:hAnsi="仿宋" w:eastAsia="仿宋" w:cs="仿宋"/>
          <w:b/>
          <w:bCs/>
          <w:color w:val="000000"/>
          <w:kern w:val="0"/>
          <w:sz w:val="44"/>
          <w:szCs w:val="44"/>
        </w:rPr>
        <w:t>中国共产党集贤县</w:t>
      </w:r>
      <w:r>
        <w:rPr>
          <w:rFonts w:hint="eastAsia" w:ascii="仿宋" w:hAnsi="仿宋" w:eastAsia="仿宋" w:cs="仿宋"/>
          <w:b/>
          <w:sz w:val="44"/>
          <w:szCs w:val="44"/>
        </w:rPr>
        <w:t>委巡察工作领导小组办公室</w:t>
      </w:r>
    </w:p>
    <w:p>
      <w:pPr>
        <w:spacing w:line="360" w:lineRule="auto"/>
        <w:ind w:firstLine="442" w:firstLineChars="100"/>
        <w:rPr>
          <w:rFonts w:ascii="仿宋" w:hAnsi="仿宋" w:eastAsia="仿宋" w:cs="仿宋"/>
          <w:b/>
          <w:bCs/>
          <w:sz w:val="52"/>
          <w:szCs w:val="52"/>
        </w:rPr>
      </w:pPr>
      <w:r>
        <w:rPr>
          <w:rFonts w:hint="eastAsia" w:ascii="仿宋" w:hAnsi="仿宋" w:eastAsia="仿宋" w:cs="仿宋"/>
          <w:b/>
          <w:bCs/>
          <w:sz w:val="44"/>
          <w:szCs w:val="44"/>
        </w:rPr>
        <w:t>2017年度部门决算信息及有关情况说明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numPr>
          <w:ilvl w:val="0"/>
          <w:numId w:val="1"/>
        </w:numPr>
        <w:spacing w:line="360" w:lineRule="auto"/>
        <w:jc w:val="left"/>
        <w:rPr>
          <w:rFonts w:hint="eastAsia" w:ascii="仿宋" w:hAnsi="仿宋" w:eastAsia="仿宋" w:cs="仿宋"/>
          <w:sz w:val="32"/>
          <w:szCs w:val="32"/>
        </w:rPr>
      </w:pPr>
      <w:r>
        <w:rPr>
          <w:rFonts w:hint="eastAsia" w:ascii="仿宋" w:hAnsi="仿宋" w:eastAsia="仿宋" w:cs="仿宋"/>
          <w:sz w:val="32"/>
          <w:szCs w:val="32"/>
        </w:rPr>
        <w:t>人员构成</w:t>
      </w:r>
    </w:p>
    <w:p>
      <w:pPr>
        <w:widowControl/>
        <w:numPr>
          <w:ilvl w:val="0"/>
          <w:numId w:val="1"/>
        </w:numPr>
        <w:spacing w:line="360" w:lineRule="auto"/>
        <w:jc w:val="left"/>
        <w:rPr>
          <w:rFonts w:ascii="仿宋" w:hAnsi="仿宋" w:eastAsia="仿宋" w:cs="仿宋"/>
          <w:sz w:val="30"/>
          <w:szCs w:val="30"/>
        </w:rPr>
      </w:pPr>
      <w:r>
        <w:rPr>
          <w:rFonts w:hint="eastAsia" w:ascii="仿宋" w:hAnsi="仿宋" w:eastAsia="仿宋" w:cs="仿宋"/>
          <w:sz w:val="30"/>
          <w:szCs w:val="30"/>
        </w:rPr>
        <w:t>部门决算编报范围</w:t>
      </w: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 2017年部门预算执行总体情况说明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第四部分  2017年度部门决算公开表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第一部分  单位基本情况</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一、部门职责</w:t>
      </w:r>
    </w:p>
    <w:p>
      <w:pPr>
        <w:spacing w:line="600" w:lineRule="exact"/>
        <w:ind w:firstLine="640" w:firstLineChars="200"/>
        <w:rPr>
          <w:rFonts w:ascii="仿宋_GB2312" w:eastAsia="仿宋_GB2312"/>
          <w:sz w:val="32"/>
          <w:szCs w:val="32"/>
        </w:rPr>
      </w:pPr>
      <w:r>
        <w:rPr>
          <w:rFonts w:hint="eastAsia" w:ascii="仿宋_GB2312" w:eastAsia="仿宋_GB2312"/>
          <w:sz w:val="32"/>
          <w:szCs w:val="32"/>
        </w:rPr>
        <w:t>根据《黑龙江省机构编制委员会关于设立市县党委巡察工作机构的通知》（黑编[2016]160号）文件精神，经县机构编制委员会研究决定，成立集贤县委巡察工作领导小组办公室及县委巡查组，为县委巡察工作领导小组下设办公室，为其日常办事机构，设在县纪律检查委员会机关；</w:t>
      </w:r>
      <w:r>
        <w:rPr>
          <w:rFonts w:hint="eastAsia" w:ascii="仿宋_GB2312" w:hAnsi="仿宋" w:eastAsia="仿宋_GB2312" w:cs="宋体"/>
          <w:kern w:val="0"/>
          <w:sz w:val="32"/>
          <w:szCs w:val="32"/>
        </w:rPr>
        <w:t>集贤县委巡察组内部设立第一巡察组、第二巡察组,在县委巡察工作领导小组领导下开展工作，承办相关巡察任务。</w:t>
      </w:r>
      <w:r>
        <w:rPr>
          <w:rFonts w:hint="eastAsia" w:ascii="仿宋_GB2312" w:eastAsia="仿宋_GB2312"/>
          <w:sz w:val="32"/>
          <w:szCs w:val="32"/>
        </w:rPr>
        <w:t>主要职责为：</w:t>
      </w:r>
    </w:p>
    <w:p>
      <w:pPr>
        <w:numPr>
          <w:ilvl w:val="0"/>
          <w:numId w:val="4"/>
        </w:numPr>
        <w:spacing w:line="600" w:lineRule="exact"/>
        <w:ind w:firstLine="640" w:firstLineChars="200"/>
        <w:rPr>
          <w:rFonts w:ascii="仿宋_GB2312" w:eastAsia="仿宋_GB2312"/>
          <w:sz w:val="32"/>
          <w:szCs w:val="32"/>
        </w:rPr>
      </w:pPr>
      <w:r>
        <w:rPr>
          <w:rFonts w:hint="eastAsia" w:ascii="仿宋_GB2312" w:eastAsia="仿宋_GB2312"/>
          <w:sz w:val="32"/>
          <w:szCs w:val="32"/>
        </w:rPr>
        <w:t>负责对全县各行政机关、企事业单位执行《中国共产党章程》和其他党内法规、遵守党的纪律、落实党风廉政建设主体责任和监督责任等情况进行监督，着力发现和解决违反“六项纪律”等方面的突出问题；</w:t>
      </w:r>
    </w:p>
    <w:p>
      <w:pPr>
        <w:spacing w:line="560" w:lineRule="exact"/>
        <w:ind w:firstLine="640" w:firstLineChars="200"/>
      </w:pPr>
      <w:r>
        <w:rPr>
          <w:rFonts w:hint="eastAsia" w:ascii="仿宋_GB2312" w:hAnsi="微软雅黑" w:eastAsia="仿宋_GB2312" w:cs="仿宋_GB2312"/>
          <w:sz w:val="32"/>
          <w:szCs w:val="32"/>
          <w:shd w:val="clear" w:color="auto" w:fill="FFFFFF"/>
        </w:rPr>
        <w:t>（二）报告巡察情况，包括巡察情况的全面报告、巡察期间的阶段性报告、巡察过程中的重大情况报告、普遍性、倾向性问题的专题报告等；</w:t>
      </w:r>
    </w:p>
    <w:p>
      <w:pPr>
        <w:spacing w:line="600" w:lineRule="exact"/>
        <w:ind w:firstLine="640" w:firstLineChars="200"/>
      </w:pPr>
      <w:r>
        <w:rPr>
          <w:rFonts w:hint="eastAsia" w:ascii="仿宋_GB2312" w:hAnsi="微软雅黑" w:eastAsia="仿宋_GB2312" w:cs="仿宋_GB2312"/>
          <w:sz w:val="32"/>
          <w:szCs w:val="32"/>
          <w:shd w:val="clear" w:color="auto" w:fill="FFFFFF"/>
        </w:rPr>
        <w:t>（三）巡察工作结束后，经批准，及时向被巡察党组织及其主要负责人反馈巡察情况，并会同巡察办督促其认真抓好整改落实；</w:t>
      </w:r>
    </w:p>
    <w:p>
      <w:pPr>
        <w:spacing w:line="600" w:lineRule="exact"/>
        <w:ind w:firstLine="640" w:firstLineChars="200"/>
      </w:pPr>
      <w:r>
        <w:rPr>
          <w:rFonts w:hint="eastAsia" w:ascii="仿宋_GB2312" w:hAnsi="微软雅黑" w:eastAsia="仿宋_GB2312" w:cs="仿宋_GB2312"/>
          <w:sz w:val="32"/>
          <w:szCs w:val="32"/>
          <w:shd w:val="clear" w:color="auto" w:fill="FFFFFF"/>
        </w:rPr>
        <w:t>（四）办理县委巡察工作领导小组交办的其他事项；</w:t>
      </w:r>
    </w:p>
    <w:p>
      <w:pPr>
        <w:spacing w:line="600" w:lineRule="exact"/>
        <w:ind w:firstLine="640" w:firstLineChars="200"/>
      </w:pPr>
      <w:r>
        <w:rPr>
          <w:rFonts w:hint="eastAsia" w:ascii="仿宋_GB2312" w:hAnsi="宋体" w:eastAsia="仿宋_GB2312" w:cs="仿宋_GB2312"/>
          <w:sz w:val="32"/>
          <w:szCs w:val="32"/>
          <w:shd w:val="clear" w:color="auto" w:fill="FFFFFF"/>
        </w:rPr>
        <w:t>（五）负责本巡察组干部日常管理和监督，承办领导交办的其他事项。</w:t>
      </w:r>
    </w:p>
    <w:p>
      <w:pPr>
        <w:spacing w:line="360" w:lineRule="auto"/>
        <w:ind w:firstLine="643" w:firstLineChars="200"/>
        <w:rPr>
          <w:rFonts w:ascii="仿宋" w:hAnsi="仿宋" w:eastAsia="仿宋" w:cs="仿宋"/>
          <w:b/>
          <w:bCs/>
          <w:color w:val="FF0000"/>
          <w:sz w:val="32"/>
          <w:szCs w:val="32"/>
        </w:rPr>
      </w:pPr>
      <w:r>
        <w:rPr>
          <w:rFonts w:hint="eastAsia" w:ascii="仿宋" w:hAnsi="仿宋" w:eastAsia="仿宋" w:cs="仿宋"/>
          <w:b/>
          <w:bCs/>
          <w:sz w:val="32"/>
          <w:szCs w:val="32"/>
        </w:rPr>
        <w:t>二、机构设置</w:t>
      </w:r>
    </w:p>
    <w:p>
      <w:pPr>
        <w:spacing w:line="360" w:lineRule="auto"/>
        <w:ind w:firstLine="640" w:firstLineChars="200"/>
        <w:rPr>
          <w:rFonts w:ascii="仿宋" w:hAnsi="仿宋" w:eastAsia="仿宋" w:cs="仿宋"/>
          <w:b/>
          <w:bCs/>
          <w:sz w:val="32"/>
          <w:szCs w:val="32"/>
        </w:rPr>
      </w:pPr>
      <w:r>
        <w:rPr>
          <w:rFonts w:hint="eastAsia" w:ascii="仿宋_GB2312" w:hAnsi="仿宋" w:eastAsia="仿宋_GB2312" w:cs="宋体"/>
          <w:kern w:val="0"/>
          <w:sz w:val="32"/>
          <w:szCs w:val="32"/>
        </w:rPr>
        <w:t>集贤县委设巡查组2个：县委第一巡察组、第二巡察组</w:t>
      </w:r>
      <w:r>
        <w:rPr>
          <w:rFonts w:hint="eastAsia" w:ascii="仿宋" w:hAnsi="仿宋" w:eastAsia="仿宋" w:cs="楷体_GB2312"/>
          <w:color w:val="000000"/>
          <w:kern w:val="0"/>
          <w:sz w:val="32"/>
          <w:szCs w:val="32"/>
        </w:rPr>
        <w:t>。</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 xml:space="preserve">三、人员构成 </w:t>
      </w:r>
    </w:p>
    <w:p>
      <w:pPr>
        <w:widowControl/>
        <w:spacing w:line="315" w:lineRule="atLeast"/>
        <w:ind w:firstLine="628"/>
        <w:rPr>
          <w:rFonts w:hint="eastAsia" w:ascii="仿宋_GB2312" w:hAnsi="仿宋" w:eastAsia="仿宋_GB2312" w:cs="宋体"/>
          <w:kern w:val="0"/>
          <w:sz w:val="32"/>
          <w:szCs w:val="32"/>
        </w:rPr>
      </w:pPr>
      <w:r>
        <w:rPr>
          <w:rFonts w:hint="eastAsia" w:ascii="仿宋" w:hAnsi="仿宋" w:eastAsia="仿宋" w:cs="宋体"/>
          <w:color w:val="000000"/>
          <w:kern w:val="0"/>
          <w:sz w:val="32"/>
          <w:szCs w:val="32"/>
        </w:rPr>
        <w:t>集贤县</w:t>
      </w:r>
      <w:r>
        <w:rPr>
          <w:rFonts w:hint="eastAsia" w:ascii="仿宋_GB2312" w:hAnsi="宋体" w:eastAsia="仿宋_GB2312" w:cs="宋体"/>
          <w:sz w:val="32"/>
          <w:szCs w:val="32"/>
        </w:rPr>
        <w:t>委巡察工作领导小组办公室</w:t>
      </w:r>
      <w:r>
        <w:rPr>
          <w:rFonts w:hint="eastAsia" w:ascii="仿宋_GB2312" w:hAnsi="仿宋" w:eastAsia="仿宋_GB2312" w:cs="宋体"/>
          <w:kern w:val="0"/>
          <w:sz w:val="32"/>
          <w:szCs w:val="32"/>
        </w:rPr>
        <w:t>核定行政编制人数6人，每组3人（其中：正科级巡查专员1职，付科级巡查专员1职）。</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四、部门决算编报范围</w:t>
      </w:r>
    </w:p>
    <w:p>
      <w:pPr>
        <w:widowControl/>
        <w:spacing w:line="315" w:lineRule="atLeast"/>
        <w:ind w:firstLine="628"/>
        <w:rPr>
          <w:rFonts w:ascii="仿宋" w:hAnsi="仿宋" w:eastAsia="仿宋" w:cs="仿宋"/>
          <w:color w:val="000000"/>
          <w:kern w:val="0"/>
          <w:sz w:val="30"/>
          <w:szCs w:val="30"/>
        </w:rPr>
      </w:pPr>
      <w:r>
        <w:rPr>
          <w:rFonts w:hint="eastAsia" w:ascii="仿宋" w:hAnsi="仿宋" w:eastAsia="仿宋" w:cs="仿宋"/>
          <w:color w:val="000000"/>
          <w:kern w:val="0"/>
          <w:sz w:val="30"/>
          <w:szCs w:val="30"/>
        </w:rPr>
        <w:t>2017年度纳入本部门决算的编制范围的单位有 1 个，为中共集贤县委巡察工作领导小组办公室。</w:t>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2017年部门预算执行总体情况说明</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_GB2312" w:cs="仿宋"/>
          <w:sz w:val="30"/>
          <w:szCs w:val="30"/>
        </w:rPr>
      </w:pPr>
      <w:r>
        <w:rPr>
          <w:rFonts w:hint="eastAsia" w:ascii="仿宋" w:hAnsi="仿宋" w:eastAsia="仿宋" w:cs="仿宋"/>
          <w:color w:val="000000" w:themeColor="text1"/>
          <w:sz w:val="30"/>
          <w:szCs w:val="30"/>
          <w:lang w:val="en-US" w:eastAsia="zh-CN"/>
        </w:rPr>
        <w:t>2017年度部门决算本年收入28.32万元；用事业基金弥补收支差额0万元；年初结转和结余0万元。本年支出28.15万元；结余分配0万元，年末结转结余0.17</w:t>
      </w:r>
      <w:bookmarkStart w:id="0" w:name="_GoBack"/>
      <w:bookmarkEnd w:id="0"/>
      <w:r>
        <w:rPr>
          <w:rFonts w:hint="eastAsia" w:ascii="仿宋" w:hAnsi="仿宋" w:eastAsia="仿宋" w:cs="仿宋"/>
          <w:color w:val="000000" w:themeColor="text1"/>
          <w:sz w:val="30"/>
          <w:szCs w:val="30"/>
          <w:lang w:val="en-US" w:eastAsia="zh-CN"/>
        </w:rPr>
        <w:t>万元。</w:t>
      </w:r>
      <w:r>
        <w:rPr>
          <w:rFonts w:hint="eastAsia" w:ascii="仿宋" w:hAnsi="仿宋" w:eastAsia="仿宋" w:cs="仿宋"/>
          <w:sz w:val="30"/>
          <w:szCs w:val="30"/>
        </w:rPr>
        <w:t>2017年度收、支总计 28.32万元。与 2016 年相比，收、支总计均增加（减少）万元，同比增长（下降）%。主要原因：</w:t>
      </w:r>
      <w:r>
        <w:rPr>
          <w:rFonts w:hint="eastAsia" w:ascii="仿宋_GB2312" w:hAnsi="宋体" w:eastAsia="仿宋_GB2312" w:cs="宋体"/>
          <w:sz w:val="32"/>
          <w:szCs w:val="32"/>
        </w:rPr>
        <w:t>部门设立于2017年11月。</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 28.32万元，与2016相比，增加（减少）万元，同比增长（下降）%。主要原因：</w:t>
      </w:r>
      <w:r>
        <w:rPr>
          <w:rFonts w:hint="eastAsia" w:ascii="仿宋_GB2312" w:hAnsi="宋体" w:eastAsia="仿宋_GB2312" w:cs="宋体"/>
          <w:sz w:val="32"/>
          <w:szCs w:val="32"/>
        </w:rPr>
        <w:t>部门设立于2017年11月</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 28.32万元，占 100%；事业收入 0万元，占 0 %；其他收入 0万元，占0%。</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 28.15万元，与2016相比，增加（减少）0万元，同比增长（下降）0 %。主要原因：</w:t>
      </w:r>
      <w:r>
        <w:rPr>
          <w:rFonts w:hint="eastAsia" w:ascii="仿宋_GB2312" w:hAnsi="宋体" w:eastAsia="仿宋_GB2312" w:cs="宋体"/>
          <w:sz w:val="32"/>
          <w:szCs w:val="32"/>
        </w:rPr>
        <w:t>部门设立于2017年11月</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 28.15万元，占 100 %；项目支出0万元，占0 %。</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2017年度财政拨款收、支总计 28..32万元。与 2016 年相比，财政拨款收、支总计各增加（减少）0万元，增长（下降）0%。主要原因：</w:t>
      </w:r>
      <w:r>
        <w:rPr>
          <w:rFonts w:hint="eastAsia" w:ascii="仿宋_GB2312" w:hAnsi="宋体" w:eastAsia="仿宋_GB2312" w:cs="宋体"/>
          <w:sz w:val="32"/>
          <w:szCs w:val="32"/>
        </w:rPr>
        <w:t>部门设立于2017年11月</w:t>
      </w:r>
    </w:p>
    <w:p>
      <w:pPr>
        <w:widowControl/>
        <w:numPr>
          <w:ilvl w:val="0"/>
          <w:numId w:val="5"/>
        </w:numPr>
        <w:spacing w:line="360" w:lineRule="auto"/>
        <w:jc w:val="left"/>
        <w:rPr>
          <w:rFonts w:ascii="仿宋" w:hAnsi="仿宋" w:eastAsia="仿宋" w:cs="仿宋"/>
          <w:b/>
          <w:bCs/>
          <w:sz w:val="32"/>
          <w:szCs w:val="32"/>
        </w:rPr>
      </w:pPr>
      <w:r>
        <w:rPr>
          <w:rFonts w:hint="eastAsia" w:ascii="仿宋" w:hAnsi="仿宋" w:eastAsia="仿宋" w:cs="仿宋"/>
          <w:b/>
          <w:bCs/>
          <w:sz w:val="32"/>
          <w:szCs w:val="32"/>
        </w:rPr>
        <w:t>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2017年度一般公共预算财政拨款支出28.32万元，比上年决算数增加（减少）0万元，增长（下降）0%，比2017年度年初预算数增加（减少）0万元，完成年初预算的0%，主要原因是</w:t>
      </w:r>
      <w:r>
        <w:rPr>
          <w:rFonts w:hint="eastAsia" w:ascii="仿宋_GB2312" w:hAnsi="宋体" w:eastAsia="仿宋_GB2312" w:cs="宋体"/>
          <w:sz w:val="32"/>
          <w:szCs w:val="32"/>
        </w:rPr>
        <w:t>部门设立于2017年11月</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（二）一般公共预算财政拨款支出决算结构情况。</w:t>
      </w:r>
    </w:p>
    <w:p>
      <w:pPr>
        <w:widowControl/>
        <w:spacing w:line="360" w:lineRule="auto"/>
        <w:ind w:firstLine="600" w:firstLineChars="200"/>
        <w:jc w:val="left"/>
        <w:rPr>
          <w:rFonts w:ascii="仿宋" w:hAnsi="仿宋" w:eastAsia="仿宋" w:cs="仿宋"/>
          <w:sz w:val="30"/>
          <w:szCs w:val="30"/>
          <w:highlight w:val="cyan"/>
        </w:rPr>
      </w:pPr>
      <w:r>
        <w:rPr>
          <w:rFonts w:hint="eastAsia" w:ascii="仿宋" w:hAnsi="仿宋" w:eastAsia="仿宋" w:cs="仿宋"/>
          <w:sz w:val="30"/>
          <w:szCs w:val="30"/>
        </w:rPr>
        <w:t>2017年度一般公共预算财政拨款支出28.15万元，主要用于以下方面：一般公共服务支出（类）27.10万元，占96.27%；住房保障支出（类）1.06万元，占3.76%。</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2017年度一般公共预算财政拨款支出年初预算为28.32万元，支出决算为28.15万元，完成年初预算的99.40%。其中：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1、一般公共服务支出（类）纪检监察事务（款）行政运行（项）年初预算为28.32万元。决算一般公共服务支出（类）为27.10万元。</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完成年初预算的95.7 %。决算数小于预算数的主要原因是有未返回支出票据。</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2、住房保障支出（类）住房改革支出（款）住房公积金（项）年初预算为28.32万元。决算一般公共服务支出（类）为1.06万元。</w:t>
      </w:r>
    </w:p>
    <w:p>
      <w:pPr>
        <w:widowControl/>
        <w:spacing w:line="360" w:lineRule="auto"/>
        <w:jc w:val="left"/>
        <w:rPr>
          <w:rFonts w:ascii="仿宋" w:hAnsi="仿宋" w:eastAsia="仿宋" w:cs="仿宋"/>
          <w:sz w:val="30"/>
          <w:szCs w:val="30"/>
          <w:highlight w:val="cyan"/>
        </w:rPr>
      </w:pPr>
      <w:r>
        <w:rPr>
          <w:rFonts w:hint="eastAsia" w:ascii="仿宋" w:hAnsi="仿宋" w:eastAsia="仿宋" w:cs="仿宋"/>
          <w:sz w:val="30"/>
          <w:szCs w:val="30"/>
        </w:rPr>
        <w:t>完成年初预算的3.7%。决算数小于预算数的主要原因是有未返回支出票据。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2017年度一般公共预算财政拨款基本支出28.15万元，其中：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人员经费10.17万元，主要包括：基本工资、津贴补贴、其他对个人和家庭的补助支出；</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公用经费17.98万元，主要包括：办公费、手续费、邮电费、差旅费、办公设备购置。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2017年度“三公”经费财政拨款支出预算为0万元，支出决算为0万元，完成预算的0%，2017年度“三公”经费支出决算数小于预算数的主要原因：无。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其中：因公出国（境）费支出决算为 0万元，完成预算的 0%，因公出国（境）费支出决算数小于预算数的主要原因：无；公务用车购置及运行费支出决算为0万元，完成预算的0 %，公务用车购置及运行费支出决算数小于预算数的主要原因：无；公务接待费支出决算为0万元，完成预算的0 %，公务接待费支出决算数小于预算数的主要原因：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数比2016年增加（减少）0万元，增长（下降）0%，其中：因公出国（境）费支出决算增加（减少）0万元，增长（下降）0 %，原因为：无；公务用车购置及运行费支出决算增加（减少）0万元，增长（下降）0 %，原因为：无；公务接待费支出决算增加（减少）0万元，增长（下降）0%，原因为：无。</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2017年度“三公”经费财政拨款支出决算中，因公出国（境）费支出决算0万元，占0%；公务用车购置及运行费支出决算0万元，占 0 %；公务接待费支出决算0万元，占0 %。</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1.因公出国（境）费支出0万元。全年安排因公出国（境）团组0个，累计0人次。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2.公务用车购置及运行费支出0万元。其中：公务用车购置费支出为0万元，公务用车购置数0台；公务用车运行维护费0万元，公务用车保有量0台。</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3.公务接待费支出0万元。其中：国内公务接待费0万元，国内公务接待批次0个，国内公务接待人次0人；国（境）外公务接待费0万元，国（境）外公务接待批次 0个，国（境）外公务接待人次 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本年度没有政府性基金收入，也没有使用政府性基金安排的支出。与上年一致。</w:t>
      </w:r>
    </w:p>
    <w:p>
      <w:pPr>
        <w:widowControl/>
        <w:spacing w:line="360" w:lineRule="auto"/>
        <w:jc w:val="left"/>
        <w:rPr>
          <w:rFonts w:ascii="仿宋" w:hAnsi="仿宋" w:eastAsia="仿宋" w:cs="仿宋"/>
          <w:sz w:val="30"/>
          <w:szCs w:val="30"/>
          <w:highlight w:val="cyan"/>
        </w:rPr>
      </w:pPr>
      <w:r>
        <w:rPr>
          <w:rFonts w:hint="eastAsia" w:ascii="仿宋" w:hAnsi="仿宋" w:eastAsia="仿宋" w:cs="仿宋"/>
          <w:b/>
          <w:bCs/>
          <w:sz w:val="32"/>
          <w:szCs w:val="32"/>
        </w:rPr>
        <w:t>九、预算绩效管理工作开展情况说明。</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本年度没有预算绩效评价项目。</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（一）机关运行经费支出情况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2017年度机关运行经费支出17.99万元，较2016年增加（减少）   0万元，同比增长（降低）0 %。主要原因是：主要原因是</w:t>
      </w:r>
      <w:r>
        <w:rPr>
          <w:rFonts w:hint="eastAsia" w:ascii="仿宋_GB2312" w:hAnsi="宋体" w:eastAsia="仿宋_GB2312" w:cs="宋体"/>
          <w:sz w:val="32"/>
          <w:szCs w:val="32"/>
        </w:rPr>
        <w:t>部门设立于2017年11月</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2017年度，政府采购支出总额0万元，其中：政府采购货物支出     0万元、政府采购工程支出0万元、政府采购服务支出0万元。授予中小企业合同金额0万元，占政府采购支出总额的0 %，其中：授予小微企业合同金额0万元，占政府采购支出总额的0%。</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450" w:firstLineChars="150"/>
        <w:jc w:val="left"/>
        <w:rPr>
          <w:rFonts w:ascii="仿宋" w:hAnsi="仿宋" w:eastAsia="仿宋" w:cs="仿宋"/>
          <w:sz w:val="30"/>
          <w:szCs w:val="30"/>
        </w:rPr>
      </w:pPr>
      <w:r>
        <w:rPr>
          <w:rFonts w:hint="eastAsia" w:ascii="仿宋" w:hAnsi="仿宋" w:eastAsia="仿宋" w:cs="仿宋"/>
          <w:sz w:val="30"/>
          <w:szCs w:val="30"/>
        </w:rPr>
        <w:t>截至2017年12月31日，共有车辆0辆，其中，部级领导干部用车0 辆、一般公务用车0辆、一般执法执勤用车0辆、特种专业技术用车0辆、其他用车0辆，单位价值50万元以上通用设备0台（套），单位价值在100万以上的专用设备0台(套)。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根据《2017年政府收支分类科目》对2017年度部门决算公开中相关名词解释如下：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年末结转和结余资金：</w:t>
      </w:r>
      <w:r>
        <w:rPr>
          <w:rFonts w:hint="eastAsia" w:ascii="仿宋" w:hAnsi="仿宋" w:eastAsia="仿宋" w:cs="仿宋"/>
          <w:color w:val="111111"/>
          <w:kern w:val="0"/>
          <w:sz w:val="30"/>
          <w:szCs w:val="30"/>
        </w:rPr>
        <w:t>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color w:val="333333"/>
          <w:kern w:val="0"/>
          <w:sz w:val="30"/>
          <w:szCs w:val="30"/>
        </w:rPr>
      </w:pPr>
      <w:r>
        <w:rPr>
          <w:rFonts w:hint="eastAsia" w:ascii="仿宋" w:hAnsi="仿宋" w:eastAsia="仿宋" w:cs="仿宋"/>
          <w:color w:val="333333"/>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一般公共财政预算支出：反映公共财政预算收入安排的支出。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对个人和家庭的补助：反映政府用于对个人和家庭的补助支出。</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333333"/>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　　政府性基金支出：反映政府基金收入按排的支出。</w:t>
      </w:r>
      <w:r>
        <w:rPr>
          <w:rFonts w:hint="eastAsia" w:ascii="仿宋" w:hAnsi="仿宋" w:eastAsia="仿宋" w:cs="仿宋"/>
          <w:color w:val="333333"/>
          <w:kern w:val="0"/>
          <w:sz w:val="30"/>
          <w:szCs w:val="30"/>
        </w:rPr>
        <w:br w:type="textWrapping"/>
      </w:r>
      <w:r>
        <w:rPr>
          <w:rFonts w:hint="eastAsia" w:ascii="仿宋" w:hAnsi="仿宋" w:eastAsia="仿宋" w:cs="仿宋"/>
          <w:bCs/>
          <w:color w:val="111111"/>
          <w:kern w:val="0"/>
          <w:sz w:val="30"/>
          <w:szCs w:val="30"/>
        </w:rPr>
        <w:t>基本支出：</w:t>
      </w:r>
      <w:r>
        <w:rPr>
          <w:rFonts w:hint="eastAsia" w:ascii="仿宋" w:hAnsi="仿宋" w:eastAsia="仿宋" w:cs="仿宋"/>
          <w:color w:val="111111"/>
          <w:kern w:val="0"/>
          <w:sz w:val="30"/>
          <w:szCs w:val="30"/>
        </w:rPr>
        <w:t>指为保障机构正常运转、完成日常工作任务而发生的人员支出和公用支出。 </w:t>
      </w:r>
    </w:p>
    <w:p>
      <w:pPr>
        <w:spacing w:line="360" w:lineRule="auto"/>
        <w:ind w:firstLine="660"/>
        <w:rPr>
          <w:rFonts w:ascii="仿宋" w:hAnsi="仿宋" w:eastAsia="仿宋" w:cs="仿宋"/>
          <w:sz w:val="30"/>
          <w:szCs w:val="30"/>
        </w:rPr>
      </w:pPr>
      <w:r>
        <w:rPr>
          <w:rFonts w:hint="eastAsia" w:ascii="仿宋" w:hAnsi="仿宋" w:eastAsia="仿宋" w:cs="仿宋"/>
          <w:bCs/>
          <w:color w:val="111111"/>
          <w:kern w:val="0"/>
          <w:sz w:val="30"/>
          <w:szCs w:val="30"/>
        </w:rPr>
        <w:t>项目支出：</w:t>
      </w:r>
      <w:r>
        <w:rPr>
          <w:rFonts w:hint="eastAsia" w:ascii="仿宋" w:hAnsi="仿宋" w:eastAsia="仿宋" w:cs="仿宋"/>
          <w:color w:val="111111"/>
          <w:kern w:val="0"/>
          <w:sz w:val="30"/>
          <w:szCs w:val="30"/>
        </w:rPr>
        <w:t>指在基本支出之外为完成特定的行政任务或事业发展目标所发生的支出。</w:t>
      </w:r>
    </w:p>
    <w:p>
      <w:pPr>
        <w:widowControl/>
        <w:spacing w:line="360" w:lineRule="auto"/>
        <w:ind w:firstLine="600" w:firstLineChars="200"/>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w:t>
      </w:r>
      <w:r>
        <w:rPr>
          <w:rFonts w:hint="eastAsia" w:ascii="仿宋" w:hAnsi="仿宋" w:eastAsia="仿宋" w:cs="仿宋"/>
          <w:bCs/>
          <w:color w:val="111111"/>
          <w:kern w:val="0"/>
          <w:sz w:val="30"/>
          <w:szCs w:val="30"/>
        </w:rPr>
        <w:t>三公”经费：</w:t>
      </w:r>
      <w:r>
        <w:rPr>
          <w:rFonts w:hint="eastAsia" w:ascii="仿宋" w:hAnsi="仿宋" w:eastAsia="仿宋" w:cs="仿宋"/>
          <w:color w:val="111111"/>
          <w:kern w:val="0"/>
          <w:sz w:val="30"/>
          <w:szCs w:val="30"/>
        </w:rPr>
        <w:t>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bCs/>
          <w:color w:val="111111"/>
          <w:kern w:val="0"/>
          <w:sz w:val="30"/>
          <w:szCs w:val="30"/>
        </w:rPr>
        <w:t>机关运行经费：</w:t>
      </w:r>
      <w:r>
        <w:rPr>
          <w:rFonts w:hint="eastAsia" w:ascii="仿宋" w:hAnsi="仿宋" w:eastAsia="仿宋" w:cs="仿宋"/>
          <w:color w:val="111111"/>
          <w:kern w:val="0"/>
          <w:sz w:val="30"/>
          <w:szCs w:val="30"/>
        </w:rPr>
        <w:t>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color w:val="333333"/>
          <w:kern w:val="0"/>
          <w:sz w:val="30"/>
          <w:szCs w:val="30"/>
        </w:rPr>
        <w:br w:type="textWrapping"/>
      </w:r>
      <w:r>
        <w:rPr>
          <w:rFonts w:hint="eastAsia" w:ascii="仿宋" w:hAnsi="仿宋" w:eastAsia="仿宋" w:cs="仿宋"/>
          <w:color w:val="333333"/>
          <w:kern w:val="0"/>
          <w:sz w:val="30"/>
          <w:szCs w:val="30"/>
        </w:rPr>
        <w:t>政府采购：</w:t>
      </w:r>
      <w:r>
        <w:rPr>
          <w:rFonts w:hint="eastAsia" w:ascii="仿宋" w:hAnsi="仿宋" w:eastAsia="仿宋" w:cs="仿宋"/>
          <w:sz w:val="30"/>
          <w:szCs w:val="30"/>
          <w:shd w:val="clear" w:color="auto" w:fill="FFFFFF"/>
        </w:rPr>
        <w:t>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Style w:val="8"/>
          <w:rFonts w:hint="eastAsia" w:ascii="仿宋" w:hAnsi="仿宋" w:eastAsia="仿宋" w:cs="仿宋"/>
          <w:sz w:val="30"/>
          <w:szCs w:val="30"/>
          <w:shd w:val="clear" w:color="auto" w:fill="FFFFFF"/>
        </w:rPr>
        <w:t>财政性资金</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和政府借款购买货物、工程和服务的行为。政府采购不仅是指具体的</w:t>
      </w:r>
      <w:r>
        <w:fldChar w:fldCharType="begin"/>
      </w:r>
      <w:r>
        <w:instrText xml:space="preserve"> HYPERLINK "http://baike.so.com/doc/4796448-5012566.html" \t "_blank" </w:instrText>
      </w:r>
      <w:r>
        <w:fldChar w:fldCharType="separate"/>
      </w:r>
      <w:r>
        <w:rPr>
          <w:rStyle w:val="8"/>
          <w:rFonts w:hint="eastAsia" w:ascii="仿宋" w:hAnsi="仿宋" w:eastAsia="仿宋" w:cs="仿宋"/>
          <w:sz w:val="30"/>
          <w:szCs w:val="30"/>
          <w:shd w:val="clear" w:color="auto" w:fill="FFFFFF"/>
        </w:rPr>
        <w:t>采购过程</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，而且是采购政策、采购程序、采购过程及采购管理的总称，是一种对公共采购管理的制度。</w:t>
      </w:r>
      <w:r>
        <w:rPr>
          <w:rFonts w:hint="eastAsia" w:ascii="仿宋" w:hAnsi="仿宋" w:eastAsia="仿宋" w:cs="仿宋"/>
          <w:kern w:val="0"/>
          <w:sz w:val="30"/>
          <w:szCs w:val="30"/>
        </w:rPr>
        <w:br w:type="textWrapping"/>
      </w:r>
      <w:r>
        <w:rPr>
          <w:rFonts w:hint="eastAsia" w:ascii="仿宋" w:hAnsi="仿宋" w:eastAsia="仿宋" w:cs="仿宋"/>
          <w:kern w:val="0"/>
          <w:sz w:val="30"/>
          <w:szCs w:val="30"/>
        </w:rPr>
        <w:t>国有资产：</w:t>
      </w:r>
      <w:r>
        <w:rPr>
          <w:rFonts w:hint="eastAsia" w:ascii="仿宋" w:hAnsi="仿宋" w:eastAsia="仿宋" w:cs="仿宋"/>
          <w:sz w:val="30"/>
          <w:szCs w:val="30"/>
          <w:shd w:val="clear" w:color="auto" w:fill="FFFFFF"/>
        </w:rPr>
        <w:t>国有资产是法律上确定为国家所有并能为国家提供经济和</w:t>
      </w:r>
      <w:r>
        <w:fldChar w:fldCharType="begin"/>
      </w:r>
      <w:r>
        <w:instrText xml:space="preserve"> HYPERLINK "http://baike.so.com/doc/741806-785246.html" \t "_blank" </w:instrText>
      </w:r>
      <w:r>
        <w:fldChar w:fldCharType="separate"/>
      </w:r>
      <w:r>
        <w:rPr>
          <w:rStyle w:val="8"/>
          <w:rFonts w:hint="eastAsia" w:ascii="仿宋" w:hAnsi="仿宋" w:eastAsia="仿宋" w:cs="仿宋"/>
          <w:sz w:val="30"/>
          <w:szCs w:val="30"/>
          <w:shd w:val="clear" w:color="auto" w:fill="FFFFFF"/>
        </w:rPr>
        <w:t>社会效益</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的各种</w:t>
      </w:r>
      <w:r>
        <w:fldChar w:fldCharType="begin"/>
      </w:r>
      <w:r>
        <w:instrText xml:space="preserve"> HYPERLINK "http://baike.so.com/doc/7798608-8072703.html" \t "_blank" </w:instrText>
      </w:r>
      <w:r>
        <w:fldChar w:fldCharType="separate"/>
      </w:r>
      <w:r>
        <w:rPr>
          <w:rStyle w:val="8"/>
          <w:rFonts w:hint="eastAsia" w:ascii="仿宋" w:hAnsi="仿宋" w:eastAsia="仿宋" w:cs="仿宋"/>
          <w:sz w:val="30"/>
          <w:szCs w:val="30"/>
          <w:shd w:val="clear" w:color="auto" w:fill="FFFFFF"/>
        </w:rPr>
        <w:t>经济资源</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的总和。就是属于国家所有的一切</w:t>
      </w:r>
      <w:r>
        <w:fldChar w:fldCharType="begin"/>
      </w:r>
      <w:r>
        <w:instrText xml:space="preserve"> HYPERLINK "http://baike.so.com/doc/5368106-5603892.html" \t "_blank" </w:instrText>
      </w:r>
      <w:r>
        <w:fldChar w:fldCharType="separate"/>
      </w:r>
      <w:r>
        <w:rPr>
          <w:rStyle w:val="8"/>
          <w:rFonts w:hint="eastAsia" w:ascii="仿宋" w:hAnsi="仿宋" w:eastAsia="仿宋" w:cs="仿宋"/>
          <w:sz w:val="30"/>
          <w:szCs w:val="30"/>
          <w:shd w:val="clear" w:color="auto" w:fill="FFFFFF"/>
        </w:rPr>
        <w:t>财产</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和财</w:t>
      </w:r>
      <w:r>
        <w:fldChar w:fldCharType="begin"/>
      </w:r>
      <w:r>
        <w:instrText xml:space="preserve"> HYPERLINK "http://baike.so.com/doc/5399886-5637441.html" \t "_blank" </w:instrText>
      </w:r>
      <w:r>
        <w:fldChar w:fldCharType="separate"/>
      </w:r>
      <w:r>
        <w:rPr>
          <w:rStyle w:val="8"/>
          <w:rFonts w:hint="eastAsia" w:ascii="仿宋" w:hAnsi="仿宋" w:eastAsia="仿宋" w:cs="仿宋"/>
          <w:sz w:val="30"/>
          <w:szCs w:val="30"/>
          <w:shd w:val="clear" w:color="auto" w:fill="FFFFFF"/>
        </w:rPr>
        <w:t>产权</w:t>
      </w:r>
      <w:r>
        <w:rPr>
          <w:rStyle w:val="8"/>
          <w:rFonts w:hint="eastAsia" w:ascii="仿宋" w:hAnsi="仿宋" w:eastAsia="仿宋" w:cs="仿宋"/>
          <w:sz w:val="30"/>
          <w:szCs w:val="30"/>
          <w:shd w:val="clear" w:color="auto" w:fill="FFFFFF"/>
        </w:rPr>
        <w:fldChar w:fldCharType="end"/>
      </w:r>
      <w:r>
        <w:rPr>
          <w:rFonts w:hint="eastAsia" w:ascii="仿宋" w:hAnsi="仿宋" w:eastAsia="仿宋" w:cs="仿宋"/>
          <w:sz w:val="30"/>
          <w:szCs w:val="30"/>
          <w:shd w:val="clear" w:color="auto" w:fill="FFFFFF"/>
        </w:rPr>
        <w:t>利的总称。</w:t>
      </w:r>
      <w:r>
        <w:rPr>
          <w:rStyle w:val="10"/>
          <w:rFonts w:hint="eastAsia" w:ascii="仿宋" w:hAnsi="仿宋" w:eastAsia="仿宋" w:cs="仿宋"/>
          <w:sz w:val="30"/>
          <w:szCs w:val="30"/>
          <w:shd w:val="clear" w:color="auto" w:fill="FFFFFF"/>
        </w:rPr>
        <w:t> </w:t>
      </w:r>
      <w:r>
        <w:rPr>
          <w:rFonts w:hint="eastAsia" w:ascii="仿宋" w:hAnsi="仿宋" w:eastAsia="仿宋" w:cs="仿宋"/>
          <w:sz w:val="30"/>
          <w:szCs w:val="30"/>
          <w:shd w:val="clear" w:color="auto" w:fill="FFFFFF"/>
        </w:rPr>
        <w:t>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w:t>
      </w:r>
      <w:r>
        <w:rPr>
          <w:rFonts w:hint="eastAsia" w:ascii="仿宋" w:hAnsi="仿宋" w:eastAsia="仿宋" w:cs="仿宋"/>
          <w:kern w:val="0"/>
          <w:sz w:val="30"/>
          <w:szCs w:val="30"/>
        </w:rPr>
        <w:t>家所有的资产。行政事业资产的表现形式为；流动资产、长期投资、固定资产、无形资产和其他资产。</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spacing w:line="360" w:lineRule="auto"/>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附件：2017年度部门决算公开表格</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收入决算表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财政拨款收入支出决算总表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一般公共预算财政拨款基本支出决算表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一般公共预算财政拨款“三公”经费支出决算表</w:t>
      </w:r>
    </w:p>
    <w:p>
      <w:pPr>
        <w:spacing w:line="360" w:lineRule="auto"/>
        <w:ind w:firstLine="600" w:firstLineChars="200"/>
        <w:rPr>
          <w:rFonts w:ascii="仿宋" w:hAnsi="仿宋" w:eastAsia="仿宋" w:cs="仿宋"/>
          <w:kern w:val="0"/>
          <w:sz w:val="30"/>
          <w:szCs w:val="30"/>
        </w:rPr>
      </w:pPr>
      <w:r>
        <w:rPr>
          <w:rFonts w:hint="eastAsia" w:ascii="仿宋" w:hAnsi="仿宋" w:eastAsia="仿宋" w:cs="仿宋"/>
          <w:kern w:val="0"/>
          <w:sz w:val="30"/>
          <w:szCs w:val="30"/>
        </w:rPr>
        <w:t>政府性基金预算财政拨款收入支出决算表</w:t>
      </w: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swiss"/>
    <w:pitch w:val="default"/>
    <w:sig w:usb0="80000287" w:usb1="280F3C52"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Fonts w:ascii="宋体" w:hAnsi="宋体"/>
        <w:sz w:val="24"/>
        <w:szCs w:val="24"/>
      </w:rPr>
    </w:pPr>
    <w:r>
      <w:rPr>
        <w:rFonts w:ascii="宋体" w:hAnsi="宋体"/>
        <w:sz w:val="24"/>
        <w:szCs w:val="24"/>
      </w:rPr>
      <w:fldChar w:fldCharType="begin"/>
    </w:r>
    <w:r>
      <w:rPr>
        <w:rStyle w:val="7"/>
        <w:rFonts w:ascii="宋体" w:hAnsi="宋体"/>
        <w:sz w:val="24"/>
        <w:szCs w:val="24"/>
      </w:rPr>
      <w:instrText xml:space="preserve">PAGE  </w:instrText>
    </w:r>
    <w:r>
      <w:rPr>
        <w:rFonts w:ascii="宋体" w:hAnsi="宋体"/>
        <w:sz w:val="24"/>
        <w:szCs w:val="24"/>
      </w:rPr>
      <w:fldChar w:fldCharType="separate"/>
    </w:r>
    <w:r>
      <w:rPr>
        <w:rStyle w:val="7"/>
        <w:rFonts w:ascii="宋体" w:hAnsi="宋体"/>
        <w:sz w:val="24"/>
        <w:szCs w:val="24"/>
      </w:rPr>
      <w:t>- 7 -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7"/>
      </w:rPr>
    </w:pPr>
    <w:r>
      <w:fldChar w:fldCharType="begin"/>
    </w:r>
    <w:r>
      <w:rPr>
        <w:rStyle w:val="7"/>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AC23210"/>
    <w:multiLevelType w:val="singleLevel"/>
    <w:tmpl w:val="5AC23210"/>
    <w:lvl w:ilvl="0" w:tentative="0">
      <w:start w:val="1"/>
      <w:numFmt w:val="chineseCounting"/>
      <w:suff w:val="nothing"/>
      <w:lvlText w:val="（%1）"/>
      <w:lvlJc w:val="left"/>
    </w:lvl>
  </w:abstractNum>
  <w:abstractNum w:abstractNumId="4">
    <w:nsid w:val="5BBBFF09"/>
    <w:multiLevelType w:val="singleLevel"/>
    <w:tmpl w:val="5BBBFF09"/>
    <w:lvl w:ilvl="0" w:tentative="0">
      <w:start w:val="5"/>
      <w:numFmt w:val="chineseCounting"/>
      <w:suff w:val="nothing"/>
      <w:lvlText w:val="%1、"/>
      <w:lvlJc w:val="left"/>
    </w:lvl>
  </w:abstractNum>
  <w:num w:numId="1">
    <w:abstractNumId w:val="1"/>
  </w:num>
  <w:num w:numId="2">
    <w:abstractNumId w:val="2"/>
  </w:num>
  <w:num w:numId="3">
    <w:abstractNumId w:val="0"/>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170615"/>
    <w:rsid w:val="008557E7"/>
    <w:rsid w:val="00872EF7"/>
    <w:rsid w:val="00E20F1B"/>
    <w:rsid w:val="00EE5ADC"/>
    <w:rsid w:val="012430ED"/>
    <w:rsid w:val="014A5949"/>
    <w:rsid w:val="023F13DB"/>
    <w:rsid w:val="026066D5"/>
    <w:rsid w:val="02EC7C1C"/>
    <w:rsid w:val="032D5CC6"/>
    <w:rsid w:val="03456C94"/>
    <w:rsid w:val="036A7041"/>
    <w:rsid w:val="03CD392E"/>
    <w:rsid w:val="04DF25D8"/>
    <w:rsid w:val="065D3951"/>
    <w:rsid w:val="06EE4F18"/>
    <w:rsid w:val="075B29A0"/>
    <w:rsid w:val="075F1F7C"/>
    <w:rsid w:val="08F04202"/>
    <w:rsid w:val="090E785C"/>
    <w:rsid w:val="092248D9"/>
    <w:rsid w:val="093B0FC9"/>
    <w:rsid w:val="099C4029"/>
    <w:rsid w:val="09AD4741"/>
    <w:rsid w:val="09B50255"/>
    <w:rsid w:val="09E539AA"/>
    <w:rsid w:val="0A11221C"/>
    <w:rsid w:val="0ABC48D5"/>
    <w:rsid w:val="0AD801E8"/>
    <w:rsid w:val="0B65121C"/>
    <w:rsid w:val="0BC654D1"/>
    <w:rsid w:val="0C8F537C"/>
    <w:rsid w:val="0CD159E4"/>
    <w:rsid w:val="0D246A78"/>
    <w:rsid w:val="0D410992"/>
    <w:rsid w:val="0D5E7D65"/>
    <w:rsid w:val="10A739B1"/>
    <w:rsid w:val="124A2012"/>
    <w:rsid w:val="141522A4"/>
    <w:rsid w:val="145C1DAC"/>
    <w:rsid w:val="149D7C22"/>
    <w:rsid w:val="14C16853"/>
    <w:rsid w:val="15075333"/>
    <w:rsid w:val="164964BC"/>
    <w:rsid w:val="16531039"/>
    <w:rsid w:val="16EA1D4C"/>
    <w:rsid w:val="17667A1A"/>
    <w:rsid w:val="17A60DC6"/>
    <w:rsid w:val="180D60E6"/>
    <w:rsid w:val="19663C21"/>
    <w:rsid w:val="19670D43"/>
    <w:rsid w:val="19AC136C"/>
    <w:rsid w:val="1B324E77"/>
    <w:rsid w:val="1C1E0652"/>
    <w:rsid w:val="1C3521E8"/>
    <w:rsid w:val="1DD71951"/>
    <w:rsid w:val="1E3E4241"/>
    <w:rsid w:val="1E7E4DD1"/>
    <w:rsid w:val="1EE81910"/>
    <w:rsid w:val="1F096E9E"/>
    <w:rsid w:val="1F452D57"/>
    <w:rsid w:val="209730DE"/>
    <w:rsid w:val="20DE39CC"/>
    <w:rsid w:val="21965ECE"/>
    <w:rsid w:val="22897FD1"/>
    <w:rsid w:val="22B54AA2"/>
    <w:rsid w:val="23C62C14"/>
    <w:rsid w:val="23EB4166"/>
    <w:rsid w:val="243B6E0E"/>
    <w:rsid w:val="246F00D9"/>
    <w:rsid w:val="258B1D72"/>
    <w:rsid w:val="25D0378A"/>
    <w:rsid w:val="26241031"/>
    <w:rsid w:val="262D370B"/>
    <w:rsid w:val="26B10EFE"/>
    <w:rsid w:val="274678A7"/>
    <w:rsid w:val="277C33F5"/>
    <w:rsid w:val="27AA352E"/>
    <w:rsid w:val="28415CB2"/>
    <w:rsid w:val="284819BC"/>
    <w:rsid w:val="293B5244"/>
    <w:rsid w:val="298D0FFB"/>
    <w:rsid w:val="2B2D1149"/>
    <w:rsid w:val="2BD33C97"/>
    <w:rsid w:val="2CBE5DC0"/>
    <w:rsid w:val="2FA8566D"/>
    <w:rsid w:val="2FF44D1F"/>
    <w:rsid w:val="30D01C13"/>
    <w:rsid w:val="312D1038"/>
    <w:rsid w:val="31B12627"/>
    <w:rsid w:val="31B14F25"/>
    <w:rsid w:val="31C55274"/>
    <w:rsid w:val="33A52EDF"/>
    <w:rsid w:val="33B00D4E"/>
    <w:rsid w:val="33B30709"/>
    <w:rsid w:val="34836760"/>
    <w:rsid w:val="349E4F95"/>
    <w:rsid w:val="34E31610"/>
    <w:rsid w:val="353D309D"/>
    <w:rsid w:val="354B0485"/>
    <w:rsid w:val="359D1E5E"/>
    <w:rsid w:val="36864B31"/>
    <w:rsid w:val="37DD3D7B"/>
    <w:rsid w:val="380E2783"/>
    <w:rsid w:val="38A67532"/>
    <w:rsid w:val="38B91545"/>
    <w:rsid w:val="3942192D"/>
    <w:rsid w:val="395039EC"/>
    <w:rsid w:val="3A314861"/>
    <w:rsid w:val="3B057725"/>
    <w:rsid w:val="3B6067D0"/>
    <w:rsid w:val="3BDC189F"/>
    <w:rsid w:val="3C56526F"/>
    <w:rsid w:val="3CB6492A"/>
    <w:rsid w:val="3D0E0C91"/>
    <w:rsid w:val="3D4C6F00"/>
    <w:rsid w:val="3DC2625E"/>
    <w:rsid w:val="3E0C4CB4"/>
    <w:rsid w:val="3E890E84"/>
    <w:rsid w:val="3F1B0D68"/>
    <w:rsid w:val="3FCF46D7"/>
    <w:rsid w:val="4049017B"/>
    <w:rsid w:val="419732B8"/>
    <w:rsid w:val="42BD15F0"/>
    <w:rsid w:val="42C0261B"/>
    <w:rsid w:val="43342B06"/>
    <w:rsid w:val="439B0E5B"/>
    <w:rsid w:val="454D033D"/>
    <w:rsid w:val="454D1830"/>
    <w:rsid w:val="455A0572"/>
    <w:rsid w:val="455C498F"/>
    <w:rsid w:val="457E5F6B"/>
    <w:rsid w:val="4752048D"/>
    <w:rsid w:val="47E7503F"/>
    <w:rsid w:val="480B68BA"/>
    <w:rsid w:val="481C5784"/>
    <w:rsid w:val="48E37E88"/>
    <w:rsid w:val="490A248A"/>
    <w:rsid w:val="4A111454"/>
    <w:rsid w:val="4A7F6176"/>
    <w:rsid w:val="4B292024"/>
    <w:rsid w:val="4B863CA9"/>
    <w:rsid w:val="4BF91344"/>
    <w:rsid w:val="4CE65541"/>
    <w:rsid w:val="4DFF3087"/>
    <w:rsid w:val="4EB457CE"/>
    <w:rsid w:val="4F5D4E27"/>
    <w:rsid w:val="504618A3"/>
    <w:rsid w:val="50D8162A"/>
    <w:rsid w:val="510F5285"/>
    <w:rsid w:val="51663AB7"/>
    <w:rsid w:val="519D0D67"/>
    <w:rsid w:val="5256154F"/>
    <w:rsid w:val="526410F9"/>
    <w:rsid w:val="52DA4F90"/>
    <w:rsid w:val="530A248E"/>
    <w:rsid w:val="532400E8"/>
    <w:rsid w:val="53DF1E0D"/>
    <w:rsid w:val="55722011"/>
    <w:rsid w:val="55750B95"/>
    <w:rsid w:val="55F213E7"/>
    <w:rsid w:val="564D307B"/>
    <w:rsid w:val="56BF45D7"/>
    <w:rsid w:val="57A44A7B"/>
    <w:rsid w:val="57E32236"/>
    <w:rsid w:val="58091D99"/>
    <w:rsid w:val="58B77229"/>
    <w:rsid w:val="595C25FA"/>
    <w:rsid w:val="59857969"/>
    <w:rsid w:val="59994756"/>
    <w:rsid w:val="59F87D38"/>
    <w:rsid w:val="5A693D23"/>
    <w:rsid w:val="5A6B5A90"/>
    <w:rsid w:val="5B50022A"/>
    <w:rsid w:val="5C7A28AC"/>
    <w:rsid w:val="5D6B2104"/>
    <w:rsid w:val="5EC53E9C"/>
    <w:rsid w:val="5ECB5D12"/>
    <w:rsid w:val="601C7D6A"/>
    <w:rsid w:val="606B1DA7"/>
    <w:rsid w:val="60BF77ED"/>
    <w:rsid w:val="60FB2217"/>
    <w:rsid w:val="612D4AD1"/>
    <w:rsid w:val="61916FE3"/>
    <w:rsid w:val="61BC32CB"/>
    <w:rsid w:val="626A0CEB"/>
    <w:rsid w:val="62974C19"/>
    <w:rsid w:val="62FF022C"/>
    <w:rsid w:val="63144422"/>
    <w:rsid w:val="63441D54"/>
    <w:rsid w:val="640006FF"/>
    <w:rsid w:val="64636829"/>
    <w:rsid w:val="64E35DF7"/>
    <w:rsid w:val="65505D1E"/>
    <w:rsid w:val="657D0288"/>
    <w:rsid w:val="65924E36"/>
    <w:rsid w:val="66A30172"/>
    <w:rsid w:val="66BB423A"/>
    <w:rsid w:val="67F87143"/>
    <w:rsid w:val="689913DD"/>
    <w:rsid w:val="69093FDB"/>
    <w:rsid w:val="6917546E"/>
    <w:rsid w:val="69C7339C"/>
    <w:rsid w:val="6A05571E"/>
    <w:rsid w:val="6B0A0C3B"/>
    <w:rsid w:val="6B4A2B57"/>
    <w:rsid w:val="6B5F0870"/>
    <w:rsid w:val="6BD702C2"/>
    <w:rsid w:val="6C0C1489"/>
    <w:rsid w:val="6C6F6CF3"/>
    <w:rsid w:val="6D535020"/>
    <w:rsid w:val="6DBF5551"/>
    <w:rsid w:val="6E253E16"/>
    <w:rsid w:val="6E4C297B"/>
    <w:rsid w:val="6E873D36"/>
    <w:rsid w:val="6EE3061B"/>
    <w:rsid w:val="6FCB38A4"/>
    <w:rsid w:val="70310EB8"/>
    <w:rsid w:val="71B7411E"/>
    <w:rsid w:val="72012B78"/>
    <w:rsid w:val="72DE3D50"/>
    <w:rsid w:val="73557A09"/>
    <w:rsid w:val="73945713"/>
    <w:rsid w:val="7439147C"/>
    <w:rsid w:val="743B1C78"/>
    <w:rsid w:val="74460E9D"/>
    <w:rsid w:val="74492A3A"/>
    <w:rsid w:val="74B41077"/>
    <w:rsid w:val="75BE6124"/>
    <w:rsid w:val="75C475DB"/>
    <w:rsid w:val="75E406CC"/>
    <w:rsid w:val="76B41149"/>
    <w:rsid w:val="76F84DB1"/>
    <w:rsid w:val="77802CCF"/>
    <w:rsid w:val="77FD2102"/>
    <w:rsid w:val="79D85575"/>
    <w:rsid w:val="7B483738"/>
    <w:rsid w:val="7D2865F7"/>
    <w:rsid w:val="7E223BE6"/>
    <w:rsid w:val="7E5163B7"/>
    <w:rsid w:val="7EFE21F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6">
    <w:name w:val="Strong"/>
    <w:basedOn w:val="5"/>
    <w:qFormat/>
    <w:uiPriority w:val="0"/>
    <w:rPr>
      <w:b/>
    </w:rPr>
  </w:style>
  <w:style w:type="character" w:styleId="7">
    <w:name w:val="page number"/>
    <w:basedOn w:val="5"/>
    <w:qFormat/>
    <w:uiPriority w:val="0"/>
  </w:style>
  <w:style w:type="character" w:styleId="8">
    <w:name w:val="Hyperlink"/>
    <w:qFormat/>
    <w:uiPriority w:val="0"/>
    <w:rPr>
      <w:color w:val="141414"/>
      <w:u w:val="none"/>
    </w:rPr>
  </w:style>
  <w:style w:type="character" w:customStyle="1" w:styleId="10">
    <w:name w:val="apple-converted-space"/>
    <w:basedOn w:val="5"/>
    <w:qFormat/>
    <w:uiPriority w:val="0"/>
  </w:style>
  <w:style w:type="character" w:customStyle="1" w:styleId="11">
    <w:name w:val="页眉 Char"/>
    <w:basedOn w:val="5"/>
    <w:link w:val="3"/>
    <w:qFormat/>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12</Pages>
  <Words>899</Words>
  <Characters>5130</Characters>
  <Lines>42</Lines>
  <Paragraphs>12</Paragraphs>
  <TotalTime>2</TotalTime>
  <ScaleCrop>false</ScaleCrop>
  <LinksUpToDate>false</LinksUpToDate>
  <CharactersWithSpaces>6017</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Administrator</cp:lastModifiedBy>
  <dcterms:modified xsi:type="dcterms:W3CDTF">2019-02-20T00:57:03Z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