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中共集贤县委政法委员会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部门决算编报范围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主要职责：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（一）领导、组织、协调、监督全县的政法工作，抓好全县的法制建设、政法队伍建设和执法执纪工作。</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负责全县社会治安综合治理的组织、指导和协调工作。</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rPr>
        <w:t>（三）负责有关防范和处理“法轮功”问题和其他邪教及对社会有害的气功组织问题的调查处理工作。</w:t>
      </w: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color w:val="FF0000"/>
          <w:sz w:val="32"/>
          <w:szCs w:val="32"/>
        </w:rPr>
      </w:pPr>
      <w:r>
        <w:rPr>
          <w:rFonts w:hint="eastAsia" w:ascii="仿宋" w:hAnsi="仿宋" w:eastAsia="仿宋" w:cs="仿宋"/>
          <w:b/>
          <w:bCs/>
          <w:sz w:val="32"/>
          <w:szCs w:val="32"/>
        </w:rPr>
        <w:t>二、机构设置</w:t>
      </w:r>
    </w:p>
    <w:p>
      <w:pPr>
        <w:keepNext w:val="0"/>
        <w:keepLines w:val="0"/>
        <w:pageBreakBefore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cs="仿宋"/>
          <w:b/>
          <w:bCs/>
          <w:sz w:val="32"/>
          <w:szCs w:val="32"/>
        </w:rPr>
      </w:pPr>
      <w:r>
        <w:rPr>
          <w:rFonts w:hint="eastAsia" w:ascii="仿宋" w:hAnsi="仿宋" w:eastAsia="仿宋" w:cs="仿宋"/>
          <w:sz w:val="32"/>
          <w:szCs w:val="32"/>
        </w:rPr>
        <w:t>办公室、国安办、维稳办、执法检查室</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三、人员构成 </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rPr>
        <w:t>行政编制:10人，实有</w:t>
      </w:r>
      <w:r>
        <w:rPr>
          <w:rFonts w:hint="eastAsia" w:ascii="仿宋" w:hAnsi="仿宋" w:eastAsia="仿宋"/>
          <w:sz w:val="32"/>
          <w:szCs w:val="32"/>
          <w:lang w:val="en-US" w:eastAsia="zh-CN"/>
        </w:rPr>
        <w:t>9</w:t>
      </w:r>
      <w:r>
        <w:rPr>
          <w:rFonts w:hint="eastAsia" w:ascii="仿宋" w:hAnsi="仿宋" w:eastAsia="仿宋"/>
          <w:sz w:val="32"/>
          <w:szCs w:val="32"/>
        </w:rPr>
        <w:t>人，退休</w:t>
      </w:r>
      <w:r>
        <w:rPr>
          <w:rFonts w:hint="eastAsia" w:ascii="仿宋" w:hAnsi="仿宋" w:eastAsia="仿宋"/>
          <w:sz w:val="32"/>
          <w:szCs w:val="32"/>
          <w:lang w:val="en-US" w:eastAsia="zh-CN"/>
        </w:rPr>
        <w:t>5</w:t>
      </w:r>
      <w:r>
        <w:rPr>
          <w:rFonts w:hint="eastAsia" w:ascii="仿宋" w:hAnsi="仿宋" w:eastAsia="仿宋"/>
          <w:sz w:val="32"/>
          <w:szCs w:val="32"/>
        </w:rPr>
        <w:t>人。</w:t>
      </w:r>
      <w:r>
        <w:rPr>
          <w:rFonts w:hint="eastAsia" w:ascii="仿宋" w:hAnsi="仿宋" w:eastAsia="仿宋"/>
          <w:sz w:val="32"/>
          <w:szCs w:val="32"/>
          <w:lang w:eastAsia="zh-CN"/>
        </w:rPr>
        <w:t>事业编制：</w:t>
      </w:r>
      <w:r>
        <w:rPr>
          <w:rFonts w:hint="eastAsia" w:ascii="仿宋" w:hAnsi="仿宋" w:eastAsia="仿宋"/>
          <w:sz w:val="32"/>
          <w:szCs w:val="32"/>
          <w:lang w:val="en-US" w:eastAsia="zh-CN"/>
        </w:rPr>
        <w:t>3人，实有2人，退休0人。</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四、部门决算编报范围</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2017年度纳入本部门决算的编制范围的单位有1个</w:t>
      </w:r>
      <w:r>
        <w:rPr>
          <w:rFonts w:hint="eastAsia" w:ascii="仿宋" w:hAnsi="仿宋" w:eastAsia="仿宋" w:cs="仿宋"/>
          <w:sz w:val="30"/>
          <w:szCs w:val="30"/>
        </w:rPr>
        <w:t xml:space="preserve"> </w:t>
      </w:r>
      <w:r>
        <w:rPr>
          <w:rFonts w:hint="eastAsia" w:ascii="仿宋" w:hAnsi="仿宋" w:eastAsia="仿宋" w:cs="仿宋"/>
          <w:sz w:val="30"/>
          <w:szCs w:val="30"/>
          <w:lang w:eastAsia="zh-CN"/>
        </w:rPr>
        <w:t>，为中共集贤县委政法委员会。</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000000"/>
          <w:kern w:val="0"/>
          <w:sz w:val="30"/>
          <w:szCs w:val="30"/>
        </w:rPr>
      </w:pPr>
      <w:r>
        <w:rPr>
          <w:rFonts w:hint="eastAsia" w:ascii="仿宋" w:hAnsi="仿宋" w:eastAsia="仿宋" w:cs="仿宋"/>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2017年度部门决算本年收入195.18万元；用事业基金弥补收支差额0万元；年初结转和结余13.52万元。本年支出208.14万元；结余分配0万元，年末结转和结余0.56</w:t>
      </w:r>
      <w:bookmarkStart w:id="0" w:name="_GoBack"/>
      <w:bookmarkEnd w:id="0"/>
      <w:r>
        <w:rPr>
          <w:rFonts w:hint="eastAsia" w:ascii="仿宋" w:hAnsi="仿宋" w:eastAsia="仿宋" w:cs="仿宋"/>
          <w:sz w:val="30"/>
          <w:szCs w:val="30"/>
          <w:lang w:val="en-US" w:eastAsia="zh-CN"/>
        </w:rPr>
        <w:t>万元。</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208.7</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均增加</w:t>
      </w:r>
      <w:r>
        <w:rPr>
          <w:rFonts w:hint="eastAsia" w:ascii="仿宋" w:hAnsi="仿宋" w:eastAsia="仿宋" w:cs="仿宋"/>
          <w:sz w:val="30"/>
          <w:szCs w:val="30"/>
          <w:lang w:val="en-US" w:eastAsia="zh-CN"/>
        </w:rPr>
        <w:t>3.16</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 xml:space="preserve">1.5 </w:t>
      </w:r>
      <w:r>
        <w:rPr>
          <w:rFonts w:hint="eastAsia" w:ascii="仿宋" w:hAnsi="仿宋" w:eastAsia="仿宋" w:cs="仿宋"/>
          <w:sz w:val="30"/>
          <w:szCs w:val="30"/>
        </w:rPr>
        <w:t>%。主要原因：</w:t>
      </w:r>
      <w:r>
        <w:rPr>
          <w:rFonts w:hint="eastAsia" w:ascii="仿宋" w:hAnsi="仿宋" w:eastAsia="仿宋" w:cs="仿宋"/>
          <w:sz w:val="30"/>
          <w:szCs w:val="30"/>
          <w:lang w:eastAsia="zh-CN"/>
        </w:rPr>
        <w:t>单位人员调动。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195.18</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0.92</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0.5</w:t>
      </w:r>
      <w:r>
        <w:rPr>
          <w:rFonts w:hint="eastAsia" w:ascii="仿宋" w:hAnsi="仿宋" w:eastAsia="仿宋" w:cs="仿宋"/>
          <w:sz w:val="30"/>
          <w:szCs w:val="30"/>
        </w:rPr>
        <w:t>%。主要原因：</w:t>
      </w:r>
      <w:r>
        <w:rPr>
          <w:rFonts w:hint="eastAsia" w:ascii="仿宋" w:hAnsi="仿宋" w:eastAsia="仿宋" w:cs="仿宋"/>
          <w:sz w:val="30"/>
          <w:szCs w:val="30"/>
          <w:lang w:eastAsia="zh-CN"/>
        </w:rPr>
        <w:t>人员工资调整。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181.46</w:t>
      </w:r>
      <w:r>
        <w:rPr>
          <w:rFonts w:hint="eastAsia" w:ascii="仿宋" w:hAnsi="仿宋" w:eastAsia="仿宋" w:cs="仿宋"/>
          <w:sz w:val="30"/>
          <w:szCs w:val="30"/>
        </w:rPr>
        <w:t>万元，占</w:t>
      </w:r>
      <w:r>
        <w:rPr>
          <w:rFonts w:hint="eastAsia" w:ascii="仿宋" w:hAnsi="仿宋" w:eastAsia="仿宋" w:cs="仿宋"/>
          <w:sz w:val="30"/>
          <w:szCs w:val="30"/>
          <w:lang w:val="en-US" w:eastAsia="zh-CN"/>
        </w:rPr>
        <w:t>93.0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13.72</w:t>
      </w:r>
      <w:r>
        <w:rPr>
          <w:rFonts w:hint="eastAsia" w:ascii="仿宋" w:hAnsi="仿宋" w:eastAsia="仿宋" w:cs="仿宋"/>
          <w:sz w:val="30"/>
          <w:szCs w:val="30"/>
        </w:rPr>
        <w:t>万元，占</w:t>
      </w:r>
      <w:r>
        <w:rPr>
          <w:rFonts w:hint="eastAsia" w:ascii="仿宋" w:hAnsi="仿宋" w:eastAsia="仿宋" w:cs="仿宋"/>
          <w:sz w:val="30"/>
          <w:szCs w:val="30"/>
          <w:lang w:val="en-US" w:eastAsia="zh-CN"/>
        </w:rPr>
        <w:t>7.0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208.14</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63.09</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43.5</w:t>
      </w:r>
      <w:r>
        <w:rPr>
          <w:rFonts w:hint="eastAsia" w:ascii="仿宋" w:hAnsi="仿宋" w:eastAsia="仿宋" w:cs="仿宋"/>
          <w:sz w:val="30"/>
          <w:szCs w:val="30"/>
        </w:rPr>
        <w:t>%。主要原因：</w:t>
      </w:r>
      <w:r>
        <w:rPr>
          <w:rFonts w:hint="eastAsia" w:ascii="仿宋" w:hAnsi="仿宋" w:eastAsia="仿宋" w:cs="仿宋"/>
          <w:sz w:val="30"/>
          <w:szCs w:val="30"/>
          <w:lang w:eastAsia="zh-CN"/>
        </w:rPr>
        <w:t>人员调动及工资调整。</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158.14</w:t>
      </w:r>
      <w:r>
        <w:rPr>
          <w:rFonts w:hint="eastAsia" w:ascii="仿宋" w:hAnsi="仿宋" w:eastAsia="仿宋" w:cs="仿宋"/>
          <w:sz w:val="30"/>
          <w:szCs w:val="30"/>
        </w:rPr>
        <w:t>万元，占</w:t>
      </w:r>
      <w:r>
        <w:rPr>
          <w:rFonts w:hint="eastAsia" w:ascii="仿宋" w:hAnsi="仿宋" w:eastAsia="仿宋" w:cs="仿宋"/>
          <w:sz w:val="30"/>
          <w:szCs w:val="30"/>
          <w:lang w:val="en-US" w:eastAsia="zh-CN"/>
        </w:rPr>
        <w:t>76.0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50</w:t>
      </w:r>
      <w:r>
        <w:rPr>
          <w:rFonts w:hint="eastAsia" w:ascii="仿宋" w:hAnsi="仿宋" w:eastAsia="仿宋" w:cs="仿宋"/>
          <w:sz w:val="30"/>
          <w:szCs w:val="30"/>
        </w:rPr>
        <w:t>万元，占</w:t>
      </w:r>
      <w:r>
        <w:rPr>
          <w:rFonts w:hint="eastAsia" w:ascii="仿宋" w:hAnsi="仿宋" w:eastAsia="仿宋" w:cs="仿宋"/>
          <w:sz w:val="30"/>
          <w:szCs w:val="30"/>
          <w:lang w:val="en-US" w:eastAsia="zh-CN"/>
        </w:rPr>
        <w:t>24.0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193.35</w:t>
      </w:r>
      <w:r>
        <w:rPr>
          <w:rFonts w:hint="eastAsia" w:ascii="仿宋" w:hAnsi="仿宋" w:eastAsia="仿宋" w:cs="仿宋"/>
          <w:sz w:val="30"/>
          <w:szCs w:val="30"/>
        </w:rPr>
        <w:t>万元。与 2016 年相比，财政拨款收、支总计各减少</w:t>
      </w:r>
      <w:r>
        <w:rPr>
          <w:rFonts w:hint="eastAsia" w:ascii="仿宋" w:hAnsi="仿宋" w:eastAsia="仿宋" w:cs="仿宋"/>
          <w:sz w:val="30"/>
          <w:szCs w:val="30"/>
          <w:lang w:val="en-US" w:eastAsia="zh-CN"/>
        </w:rPr>
        <w:t>12.19</w:t>
      </w:r>
      <w:r>
        <w:rPr>
          <w:rFonts w:hint="eastAsia" w:ascii="仿宋" w:hAnsi="仿宋" w:eastAsia="仿宋" w:cs="仿宋"/>
          <w:sz w:val="30"/>
          <w:szCs w:val="30"/>
        </w:rPr>
        <w:t>万元，下降</w:t>
      </w:r>
      <w:r>
        <w:rPr>
          <w:rFonts w:hint="eastAsia" w:ascii="仿宋" w:hAnsi="仿宋" w:eastAsia="仿宋" w:cs="仿宋"/>
          <w:sz w:val="30"/>
          <w:szCs w:val="30"/>
          <w:lang w:val="en-US" w:eastAsia="zh-CN"/>
        </w:rPr>
        <w:t>5.9</w:t>
      </w:r>
      <w:r>
        <w:rPr>
          <w:rFonts w:hint="eastAsia" w:ascii="仿宋" w:hAnsi="仿宋" w:eastAsia="仿宋" w:cs="仿宋"/>
          <w:sz w:val="30"/>
          <w:szCs w:val="30"/>
        </w:rPr>
        <w:t>%。主要原因：</w:t>
      </w:r>
      <w:r>
        <w:rPr>
          <w:rFonts w:hint="eastAsia" w:ascii="仿宋" w:hAnsi="仿宋" w:eastAsia="仿宋" w:cs="仿宋"/>
          <w:sz w:val="30"/>
          <w:szCs w:val="30"/>
          <w:lang w:eastAsia="zh-CN"/>
        </w:rPr>
        <w:t>人员经费调整。</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193.35</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48.3万元，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33.3</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12.2万元，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106.7%，主要原因是单位人员调整增加。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sz w:val="30"/>
          <w:szCs w:val="30"/>
          <w:lang w:val="en-US" w:eastAsia="zh-CN"/>
        </w:rPr>
        <w:t>2017年度一般公共预算财政拨款支出193.35万元，主要用于以下方面</w:t>
      </w:r>
      <w:r>
        <w:rPr>
          <w:rFonts w:hint="eastAsia" w:ascii="仿宋" w:hAnsi="仿宋" w:eastAsia="仿宋" w:cs="仿宋"/>
          <w:sz w:val="30"/>
          <w:szCs w:val="30"/>
        </w:rPr>
        <w:t>：</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163.35</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84.5</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5.32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2.8</w:t>
      </w:r>
      <w:r>
        <w:rPr>
          <w:rFonts w:hint="eastAsia" w:ascii="仿宋" w:hAnsi="仿宋" w:eastAsia="仿宋" w:cs="仿宋"/>
          <w:sz w:val="30"/>
          <w:szCs w:val="30"/>
          <w:highlight w:val="none"/>
        </w:rPr>
        <w:t>%；社会保障和就业支出（类）</w:t>
      </w:r>
      <w:r>
        <w:rPr>
          <w:rFonts w:hint="eastAsia" w:ascii="仿宋" w:hAnsi="仿宋" w:eastAsia="仿宋" w:cs="仿宋"/>
          <w:sz w:val="30"/>
          <w:szCs w:val="30"/>
          <w:highlight w:val="none"/>
          <w:lang w:val="en-US" w:eastAsia="zh-CN"/>
        </w:rPr>
        <w:t>24.67</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12.8</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181.15</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193.35</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106.7%</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rPr>
        <w:t>（款）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1、行政运行</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74.12</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113.35</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152.9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单位人员调整。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一般行政管理事务</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 80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50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62.5</w:t>
      </w:r>
      <w:r>
        <w:rPr>
          <w:rFonts w:hint="eastAsia" w:ascii="仿宋" w:hAnsi="仿宋" w:eastAsia="仿宋" w:cs="仿宋"/>
          <w:sz w:val="30"/>
          <w:szCs w:val="30"/>
          <w:highlight w:val="none"/>
        </w:rPr>
        <w:t>%。决算数小于预算数的主要原因是</w:t>
      </w:r>
      <w:r>
        <w:rPr>
          <w:rFonts w:hint="eastAsia" w:ascii="仿宋" w:hAnsi="仿宋" w:eastAsia="仿宋" w:cs="仿宋"/>
          <w:sz w:val="30"/>
          <w:szCs w:val="30"/>
          <w:highlight w:val="none"/>
          <w:lang w:eastAsia="zh-CN"/>
        </w:rPr>
        <w:t>经费调整缩减。</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3、社会保障和就业支出（类）行政事业单位离退休（款）未归口管理的行政单位离退休（项）。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年初预算为23.86万元，支出决算为24.67万元，完成年初预算的 103.4 %。决算数大于预算数的主要原因是单位人员调整增加。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住房保障支出（类）住房改革支出（款）住房公积金（项）。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年初预算为3.17万元，支出决算为5.32万元，完成年初预算的 167.8%。决算数大于预算数的主要原因是单位人员工资结构调整。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143.35</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106.58</w:t>
      </w:r>
      <w:r>
        <w:rPr>
          <w:rFonts w:hint="eastAsia" w:ascii="仿宋" w:hAnsi="仿宋" w:eastAsia="仿宋" w:cs="仿宋"/>
          <w:sz w:val="30"/>
          <w:szCs w:val="30"/>
        </w:rPr>
        <w:t>万元，主要包括：基本工资、津贴补贴、奖金、退休费</w:t>
      </w:r>
      <w:r>
        <w:rPr>
          <w:rFonts w:hint="eastAsia" w:ascii="仿宋" w:hAnsi="仿宋" w:eastAsia="仿宋" w:cs="仿宋"/>
          <w:sz w:val="30"/>
          <w:szCs w:val="30"/>
          <w:lang w:eastAsia="zh-CN"/>
        </w:rPr>
        <w:t>、</w:t>
      </w:r>
      <w:r>
        <w:rPr>
          <w:rFonts w:hint="eastAsia" w:ascii="仿宋" w:hAnsi="仿宋" w:eastAsia="仿宋" w:cs="仿宋"/>
          <w:sz w:val="30"/>
          <w:szCs w:val="30"/>
        </w:rPr>
        <w:t>住房公积金、采暖补贴、其他对个人和家庭的补助支出；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36.77</w:t>
      </w:r>
      <w:r>
        <w:rPr>
          <w:rFonts w:hint="eastAsia" w:ascii="仿宋" w:hAnsi="仿宋" w:eastAsia="仿宋" w:cs="仿宋"/>
          <w:sz w:val="30"/>
          <w:szCs w:val="30"/>
        </w:rPr>
        <w:t>万元，主要包括：办公费、印刷费、手续费、邮电费、差旅费、维修(护)费、 公务用车运行维护费</w:t>
      </w:r>
      <w:r>
        <w:rPr>
          <w:rFonts w:hint="eastAsia" w:ascii="仿宋" w:hAnsi="仿宋" w:eastAsia="仿宋" w:cs="仿宋"/>
          <w:sz w:val="30"/>
          <w:szCs w:val="30"/>
          <w:lang w:eastAsia="zh-CN"/>
        </w:rPr>
        <w:t>、</w:t>
      </w:r>
      <w:r>
        <w:rPr>
          <w:rFonts w:hint="eastAsia" w:ascii="仿宋" w:hAnsi="仿宋" w:eastAsia="仿宋" w:cs="仿宋"/>
          <w:sz w:val="30"/>
          <w:szCs w:val="30"/>
        </w:rPr>
        <w:t>办公设备购置。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3.24</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3.24</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%，2017年度“三公”经费支出决算数</w:t>
      </w:r>
      <w:r>
        <w:rPr>
          <w:rFonts w:hint="eastAsia" w:ascii="仿宋" w:hAnsi="仿宋" w:eastAsia="仿宋" w:cs="仿宋"/>
          <w:sz w:val="30"/>
          <w:szCs w:val="30"/>
          <w:lang w:eastAsia="zh-CN"/>
        </w:rPr>
        <w:t>等</w:t>
      </w:r>
      <w:r>
        <w:rPr>
          <w:rFonts w:hint="eastAsia" w:ascii="仿宋" w:hAnsi="仿宋" w:eastAsia="仿宋" w:cs="仿宋"/>
          <w:sz w:val="30"/>
          <w:szCs w:val="30"/>
        </w:rPr>
        <w:t>于预算数的主要原因：</w:t>
      </w:r>
      <w:r>
        <w:rPr>
          <w:rFonts w:hint="eastAsia" w:ascii="仿宋" w:hAnsi="仿宋" w:eastAsia="仿宋" w:cs="仿宋"/>
          <w:sz w:val="30"/>
          <w:szCs w:val="30"/>
          <w:lang w:eastAsia="zh-CN"/>
        </w:rPr>
        <w:t>严格按照预算标准执行</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3.24</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%，公务用车购置及运行费支出决算数</w:t>
      </w:r>
      <w:r>
        <w:rPr>
          <w:rFonts w:hint="eastAsia" w:ascii="仿宋" w:hAnsi="仿宋" w:eastAsia="仿宋" w:cs="仿宋"/>
          <w:sz w:val="30"/>
          <w:szCs w:val="30"/>
          <w:lang w:eastAsia="zh-CN"/>
        </w:rPr>
        <w:t>等</w:t>
      </w:r>
      <w:r>
        <w:rPr>
          <w:rFonts w:hint="eastAsia" w:ascii="仿宋" w:hAnsi="仿宋" w:eastAsia="仿宋" w:cs="仿宋"/>
          <w:sz w:val="30"/>
          <w:szCs w:val="30"/>
        </w:rPr>
        <w:t>于预算数的主要原因：</w:t>
      </w:r>
      <w:r>
        <w:rPr>
          <w:rFonts w:hint="eastAsia" w:ascii="仿宋" w:hAnsi="仿宋" w:eastAsia="仿宋" w:cs="仿宋"/>
          <w:sz w:val="30"/>
          <w:szCs w:val="30"/>
          <w:lang w:eastAsia="zh-CN"/>
        </w:rPr>
        <w:t>严格按照预算标准执行</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2017年度“三公”经费财政拨款支出决算数比2016年减少</w:t>
      </w:r>
      <w:r>
        <w:rPr>
          <w:rFonts w:hint="eastAsia" w:ascii="仿宋" w:hAnsi="仿宋" w:eastAsia="仿宋" w:cs="仿宋"/>
          <w:sz w:val="30"/>
          <w:szCs w:val="30"/>
          <w:lang w:val="en-US" w:eastAsia="zh-CN"/>
        </w:rPr>
        <w:t>5.43</w:t>
      </w:r>
      <w:r>
        <w:rPr>
          <w:rFonts w:hint="eastAsia" w:ascii="仿宋" w:hAnsi="仿宋" w:eastAsia="仿宋" w:cs="仿宋"/>
          <w:sz w:val="30"/>
          <w:szCs w:val="30"/>
        </w:rPr>
        <w:t>万元，下降</w:t>
      </w:r>
      <w:r>
        <w:rPr>
          <w:rFonts w:hint="eastAsia" w:ascii="仿宋" w:hAnsi="仿宋" w:eastAsia="仿宋" w:cs="仿宋"/>
          <w:sz w:val="30"/>
          <w:szCs w:val="30"/>
          <w:lang w:val="en-US" w:eastAsia="zh-CN"/>
        </w:rPr>
        <w:t>62.6</w:t>
      </w:r>
      <w:r>
        <w:rPr>
          <w:rFonts w:hint="eastAsia" w:ascii="仿宋" w:hAnsi="仿宋" w:eastAsia="仿宋" w:cs="仿宋"/>
          <w:sz w:val="30"/>
          <w:szCs w:val="30"/>
        </w:rPr>
        <w:t>%，其中：因公出国（境）费支出决算增加（减少）0万元，增长（下降）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%，原因为：无；公务用车购置及运行费支出决算减少</w:t>
      </w:r>
      <w:r>
        <w:rPr>
          <w:rFonts w:hint="eastAsia" w:ascii="仿宋" w:hAnsi="仿宋" w:eastAsia="仿宋" w:cs="仿宋"/>
          <w:sz w:val="30"/>
          <w:szCs w:val="30"/>
          <w:lang w:val="en-US" w:eastAsia="zh-CN"/>
        </w:rPr>
        <w:t>5.43</w:t>
      </w:r>
      <w:r>
        <w:rPr>
          <w:rFonts w:hint="eastAsia" w:ascii="仿宋" w:hAnsi="仿宋" w:eastAsia="仿宋" w:cs="仿宋"/>
          <w:sz w:val="30"/>
          <w:szCs w:val="30"/>
        </w:rPr>
        <w:t>万元，下降</w:t>
      </w:r>
      <w:r>
        <w:rPr>
          <w:rFonts w:hint="eastAsia" w:ascii="仿宋" w:hAnsi="仿宋" w:eastAsia="仿宋" w:cs="仿宋"/>
          <w:sz w:val="30"/>
          <w:szCs w:val="30"/>
          <w:lang w:val="en-US" w:eastAsia="zh-CN"/>
        </w:rPr>
        <w:t>62.6</w:t>
      </w:r>
      <w:r>
        <w:rPr>
          <w:rFonts w:hint="eastAsia" w:ascii="仿宋" w:hAnsi="仿宋" w:eastAsia="仿宋" w:cs="仿宋"/>
          <w:sz w:val="30"/>
          <w:szCs w:val="30"/>
        </w:rPr>
        <w:t>%，原因为：</w:t>
      </w:r>
      <w:r>
        <w:rPr>
          <w:rFonts w:hint="eastAsia" w:ascii="仿宋" w:hAnsi="仿宋" w:eastAsia="仿宋" w:cs="仿宋"/>
          <w:sz w:val="30"/>
          <w:szCs w:val="30"/>
          <w:lang w:val="en-US" w:eastAsia="zh-CN"/>
        </w:rPr>
        <w:t>响应号召缩减三公经费</w:t>
      </w:r>
      <w:r>
        <w:rPr>
          <w:rFonts w:hint="eastAsia" w:ascii="仿宋" w:hAnsi="仿宋" w:eastAsia="仿宋" w:cs="仿宋"/>
          <w:sz w:val="30"/>
          <w:szCs w:val="30"/>
        </w:rPr>
        <w:t>；公务接待费支出决算增加（减少）</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3.24</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3.24</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1</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2016年相比，政府性基金预算财政拨款支出增加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36.77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rPr>
        <w:t>减少</w:t>
      </w:r>
      <w:r>
        <w:rPr>
          <w:rFonts w:hint="eastAsia" w:ascii="仿宋" w:hAnsi="仿宋" w:eastAsia="仿宋" w:cs="仿宋"/>
          <w:sz w:val="30"/>
          <w:szCs w:val="30"/>
          <w:highlight w:val="none"/>
          <w:lang w:val="en-US" w:eastAsia="zh-CN"/>
        </w:rPr>
        <w:t xml:space="preserve">25.85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w:t>
      </w:r>
      <w:r>
        <w:rPr>
          <w:rFonts w:hint="eastAsia" w:ascii="仿宋" w:hAnsi="仿宋" w:eastAsia="仿宋" w:cs="仿宋"/>
          <w:sz w:val="30"/>
          <w:szCs w:val="30"/>
          <w:highlight w:val="none"/>
        </w:rPr>
        <w:t>降低</w:t>
      </w:r>
      <w:r>
        <w:rPr>
          <w:rFonts w:hint="eastAsia" w:ascii="仿宋" w:hAnsi="仿宋" w:eastAsia="仿宋" w:cs="仿宋"/>
          <w:sz w:val="30"/>
          <w:szCs w:val="30"/>
          <w:highlight w:val="none"/>
          <w:lang w:val="en-US" w:eastAsia="zh-CN"/>
        </w:rPr>
        <w:t xml:space="preserve"> 41.28</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eastAsia="zh-CN"/>
        </w:rPr>
        <w:t>人员调整。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1</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1</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956F64"/>
    <w:multiLevelType w:val="singleLevel"/>
    <w:tmpl w:val="B8956F64"/>
    <w:lvl w:ilvl="0" w:tentative="0">
      <w:start w:val="2"/>
      <w:numFmt w:val="chineseCounting"/>
      <w:suff w:val="nothing"/>
      <w:lvlText w:val="（%1）"/>
      <w:lvlJc w:val="left"/>
      <w:rPr>
        <w:rFonts w:hint="eastAsia"/>
      </w:r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146FCD"/>
    <w:rsid w:val="008557E7"/>
    <w:rsid w:val="012430ED"/>
    <w:rsid w:val="014A5949"/>
    <w:rsid w:val="023F13DB"/>
    <w:rsid w:val="026066D5"/>
    <w:rsid w:val="02EC7C1C"/>
    <w:rsid w:val="02F64D8D"/>
    <w:rsid w:val="032D5CC6"/>
    <w:rsid w:val="03456C94"/>
    <w:rsid w:val="036A7041"/>
    <w:rsid w:val="03CD392E"/>
    <w:rsid w:val="04DF25D8"/>
    <w:rsid w:val="056018A6"/>
    <w:rsid w:val="05E40496"/>
    <w:rsid w:val="06585EF1"/>
    <w:rsid w:val="065D3951"/>
    <w:rsid w:val="06EE4F18"/>
    <w:rsid w:val="075B29A0"/>
    <w:rsid w:val="075F1F7C"/>
    <w:rsid w:val="07E6372F"/>
    <w:rsid w:val="08784A18"/>
    <w:rsid w:val="08F04202"/>
    <w:rsid w:val="090B45D9"/>
    <w:rsid w:val="090E785C"/>
    <w:rsid w:val="092248D9"/>
    <w:rsid w:val="092711F5"/>
    <w:rsid w:val="093B0FC9"/>
    <w:rsid w:val="099C4029"/>
    <w:rsid w:val="09AD4741"/>
    <w:rsid w:val="09B50255"/>
    <w:rsid w:val="09E539AA"/>
    <w:rsid w:val="09E64B35"/>
    <w:rsid w:val="0A11221C"/>
    <w:rsid w:val="0A500237"/>
    <w:rsid w:val="0ABC48D5"/>
    <w:rsid w:val="0AD801E8"/>
    <w:rsid w:val="0B65121C"/>
    <w:rsid w:val="0BC654D1"/>
    <w:rsid w:val="0BFE2F34"/>
    <w:rsid w:val="0C8F537C"/>
    <w:rsid w:val="0CD159E4"/>
    <w:rsid w:val="0D246A78"/>
    <w:rsid w:val="0D410992"/>
    <w:rsid w:val="0D5E7D65"/>
    <w:rsid w:val="0DF47AEA"/>
    <w:rsid w:val="0E764DE1"/>
    <w:rsid w:val="0EDA79C3"/>
    <w:rsid w:val="10984C29"/>
    <w:rsid w:val="10A739B1"/>
    <w:rsid w:val="10FB31D8"/>
    <w:rsid w:val="124A2012"/>
    <w:rsid w:val="12CB0DB7"/>
    <w:rsid w:val="141522A4"/>
    <w:rsid w:val="145C1DAC"/>
    <w:rsid w:val="149D7C22"/>
    <w:rsid w:val="14C16853"/>
    <w:rsid w:val="15075333"/>
    <w:rsid w:val="163A365D"/>
    <w:rsid w:val="164964BC"/>
    <w:rsid w:val="16531039"/>
    <w:rsid w:val="16EA1D4C"/>
    <w:rsid w:val="17667A1A"/>
    <w:rsid w:val="17810DB3"/>
    <w:rsid w:val="17A60DC6"/>
    <w:rsid w:val="180D60E6"/>
    <w:rsid w:val="180F203A"/>
    <w:rsid w:val="18E71516"/>
    <w:rsid w:val="19663C21"/>
    <w:rsid w:val="19670D43"/>
    <w:rsid w:val="19AC136C"/>
    <w:rsid w:val="19DF19F4"/>
    <w:rsid w:val="19EC2862"/>
    <w:rsid w:val="1B324E77"/>
    <w:rsid w:val="1C1E0652"/>
    <w:rsid w:val="1C3521E8"/>
    <w:rsid w:val="1D1E2F9A"/>
    <w:rsid w:val="1D7F40B2"/>
    <w:rsid w:val="1DD71951"/>
    <w:rsid w:val="1E3E4241"/>
    <w:rsid w:val="1E7E4DD1"/>
    <w:rsid w:val="1EE81910"/>
    <w:rsid w:val="1F096E9E"/>
    <w:rsid w:val="1F6264D2"/>
    <w:rsid w:val="1FBE441C"/>
    <w:rsid w:val="209730DE"/>
    <w:rsid w:val="20DE39CC"/>
    <w:rsid w:val="21965ECE"/>
    <w:rsid w:val="22897FD1"/>
    <w:rsid w:val="228F4AC1"/>
    <w:rsid w:val="22B54AA2"/>
    <w:rsid w:val="23C62C14"/>
    <w:rsid w:val="23EB4166"/>
    <w:rsid w:val="243B6E0E"/>
    <w:rsid w:val="246F00D9"/>
    <w:rsid w:val="24A55896"/>
    <w:rsid w:val="258B1D72"/>
    <w:rsid w:val="25D0378A"/>
    <w:rsid w:val="26241031"/>
    <w:rsid w:val="262D370B"/>
    <w:rsid w:val="26B10EFE"/>
    <w:rsid w:val="274678A7"/>
    <w:rsid w:val="277C33F5"/>
    <w:rsid w:val="27AA352E"/>
    <w:rsid w:val="28415CB2"/>
    <w:rsid w:val="284819BC"/>
    <w:rsid w:val="293B5244"/>
    <w:rsid w:val="298D0FFB"/>
    <w:rsid w:val="2B2D1149"/>
    <w:rsid w:val="2BC53175"/>
    <w:rsid w:val="2BD33C97"/>
    <w:rsid w:val="2CBE5DC0"/>
    <w:rsid w:val="2CD767F1"/>
    <w:rsid w:val="2DE012A9"/>
    <w:rsid w:val="2E0A2E06"/>
    <w:rsid w:val="2FA8566D"/>
    <w:rsid w:val="2FC808D2"/>
    <w:rsid w:val="2FF44D1F"/>
    <w:rsid w:val="30415078"/>
    <w:rsid w:val="30D01C13"/>
    <w:rsid w:val="312D1038"/>
    <w:rsid w:val="31352736"/>
    <w:rsid w:val="31B12627"/>
    <w:rsid w:val="31B14F25"/>
    <w:rsid w:val="31C55274"/>
    <w:rsid w:val="33A52EDF"/>
    <w:rsid w:val="33B00D4E"/>
    <w:rsid w:val="33B30709"/>
    <w:rsid w:val="34836760"/>
    <w:rsid w:val="349E4F95"/>
    <w:rsid w:val="34E31610"/>
    <w:rsid w:val="353D309D"/>
    <w:rsid w:val="354B0485"/>
    <w:rsid w:val="357656CD"/>
    <w:rsid w:val="359D1E5E"/>
    <w:rsid w:val="36864B31"/>
    <w:rsid w:val="3766352E"/>
    <w:rsid w:val="37DD3D7B"/>
    <w:rsid w:val="380E2783"/>
    <w:rsid w:val="38A67532"/>
    <w:rsid w:val="38B26F09"/>
    <w:rsid w:val="38B91545"/>
    <w:rsid w:val="38F14721"/>
    <w:rsid w:val="3942192D"/>
    <w:rsid w:val="395039EC"/>
    <w:rsid w:val="3A314861"/>
    <w:rsid w:val="3A4B5331"/>
    <w:rsid w:val="3B057725"/>
    <w:rsid w:val="3B6067D0"/>
    <w:rsid w:val="3BDC189F"/>
    <w:rsid w:val="3C56526F"/>
    <w:rsid w:val="3CB6492A"/>
    <w:rsid w:val="3D0E0C91"/>
    <w:rsid w:val="3D4C6F00"/>
    <w:rsid w:val="3DBC69CF"/>
    <w:rsid w:val="3DC2625E"/>
    <w:rsid w:val="3E0C4CB4"/>
    <w:rsid w:val="3E890E84"/>
    <w:rsid w:val="3F1B0D68"/>
    <w:rsid w:val="3FCF46D7"/>
    <w:rsid w:val="4049017B"/>
    <w:rsid w:val="40CB7307"/>
    <w:rsid w:val="419732B8"/>
    <w:rsid w:val="42BD15F0"/>
    <w:rsid w:val="42C0261B"/>
    <w:rsid w:val="43342B06"/>
    <w:rsid w:val="439B0E5B"/>
    <w:rsid w:val="44483C59"/>
    <w:rsid w:val="44654511"/>
    <w:rsid w:val="45403D77"/>
    <w:rsid w:val="454D033D"/>
    <w:rsid w:val="454D1830"/>
    <w:rsid w:val="455A0572"/>
    <w:rsid w:val="455C498F"/>
    <w:rsid w:val="457E5F6B"/>
    <w:rsid w:val="4752048D"/>
    <w:rsid w:val="476F3212"/>
    <w:rsid w:val="47E7503F"/>
    <w:rsid w:val="480B68BA"/>
    <w:rsid w:val="481C5784"/>
    <w:rsid w:val="48E37E88"/>
    <w:rsid w:val="490A248A"/>
    <w:rsid w:val="499B7F86"/>
    <w:rsid w:val="4A111454"/>
    <w:rsid w:val="4A7F6176"/>
    <w:rsid w:val="4A8B616D"/>
    <w:rsid w:val="4B292024"/>
    <w:rsid w:val="4B863CA9"/>
    <w:rsid w:val="4BF91344"/>
    <w:rsid w:val="4CE427FE"/>
    <w:rsid w:val="4CE65541"/>
    <w:rsid w:val="4DFF3087"/>
    <w:rsid w:val="4EB457CE"/>
    <w:rsid w:val="4F5D4E27"/>
    <w:rsid w:val="504618A3"/>
    <w:rsid w:val="50D8162A"/>
    <w:rsid w:val="510F5285"/>
    <w:rsid w:val="51663AB7"/>
    <w:rsid w:val="519D0D67"/>
    <w:rsid w:val="5256154F"/>
    <w:rsid w:val="526410F9"/>
    <w:rsid w:val="52AB1157"/>
    <w:rsid w:val="52DA4F90"/>
    <w:rsid w:val="530A248E"/>
    <w:rsid w:val="532400E8"/>
    <w:rsid w:val="53DF1E0D"/>
    <w:rsid w:val="55722011"/>
    <w:rsid w:val="55750B95"/>
    <w:rsid w:val="55B84583"/>
    <w:rsid w:val="55F213E7"/>
    <w:rsid w:val="564D307B"/>
    <w:rsid w:val="56BF45D7"/>
    <w:rsid w:val="56CA1630"/>
    <w:rsid w:val="570A59A9"/>
    <w:rsid w:val="57A44A7B"/>
    <w:rsid w:val="57E32236"/>
    <w:rsid w:val="57E562F2"/>
    <w:rsid w:val="58091D99"/>
    <w:rsid w:val="58B77229"/>
    <w:rsid w:val="595C25FA"/>
    <w:rsid w:val="59857969"/>
    <w:rsid w:val="59994756"/>
    <w:rsid w:val="59F87D38"/>
    <w:rsid w:val="5A227800"/>
    <w:rsid w:val="5A693D23"/>
    <w:rsid w:val="5A6B5A90"/>
    <w:rsid w:val="5B50022A"/>
    <w:rsid w:val="5BCA0ABE"/>
    <w:rsid w:val="5BF17EB5"/>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3CC405E"/>
    <w:rsid w:val="63F63CB6"/>
    <w:rsid w:val="640006FF"/>
    <w:rsid w:val="64636829"/>
    <w:rsid w:val="64E35DF7"/>
    <w:rsid w:val="65505D1E"/>
    <w:rsid w:val="657D0288"/>
    <w:rsid w:val="65924E36"/>
    <w:rsid w:val="66A30172"/>
    <w:rsid w:val="66BB423A"/>
    <w:rsid w:val="671879F9"/>
    <w:rsid w:val="67CC4BB3"/>
    <w:rsid w:val="67F87143"/>
    <w:rsid w:val="689913DD"/>
    <w:rsid w:val="69093FDB"/>
    <w:rsid w:val="6917546E"/>
    <w:rsid w:val="69A5054C"/>
    <w:rsid w:val="69BC5E4E"/>
    <w:rsid w:val="69C7339C"/>
    <w:rsid w:val="6A05571E"/>
    <w:rsid w:val="6AA43638"/>
    <w:rsid w:val="6B0A0C3B"/>
    <w:rsid w:val="6B4A2B57"/>
    <w:rsid w:val="6BD702C2"/>
    <w:rsid w:val="6C0C1489"/>
    <w:rsid w:val="6C6F6CF3"/>
    <w:rsid w:val="6D535020"/>
    <w:rsid w:val="6D9C54EB"/>
    <w:rsid w:val="6DBF5551"/>
    <w:rsid w:val="6E253E16"/>
    <w:rsid w:val="6E873D36"/>
    <w:rsid w:val="6EE3061B"/>
    <w:rsid w:val="6FCB38A4"/>
    <w:rsid w:val="70310EB8"/>
    <w:rsid w:val="71B7411E"/>
    <w:rsid w:val="72012B78"/>
    <w:rsid w:val="723B1A46"/>
    <w:rsid w:val="72DE3D50"/>
    <w:rsid w:val="734856B2"/>
    <w:rsid w:val="73733DF4"/>
    <w:rsid w:val="73945713"/>
    <w:rsid w:val="73BC2480"/>
    <w:rsid w:val="7439147C"/>
    <w:rsid w:val="743B1C78"/>
    <w:rsid w:val="74460E9D"/>
    <w:rsid w:val="74492A3A"/>
    <w:rsid w:val="74B41077"/>
    <w:rsid w:val="75BE6124"/>
    <w:rsid w:val="75C475DB"/>
    <w:rsid w:val="75E406CC"/>
    <w:rsid w:val="76B41149"/>
    <w:rsid w:val="76F84DB1"/>
    <w:rsid w:val="77802CCF"/>
    <w:rsid w:val="77FD2102"/>
    <w:rsid w:val="79DA2DF9"/>
    <w:rsid w:val="7B483738"/>
    <w:rsid w:val="7C1F1D54"/>
    <w:rsid w:val="7D2865F7"/>
    <w:rsid w:val="7DCA2FBB"/>
    <w:rsid w:val="7E223BE6"/>
    <w:rsid w:val="7E5163B7"/>
    <w:rsid w:val="7E84722D"/>
    <w:rsid w:val="7EFE21F5"/>
    <w:rsid w:val="7F3B3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L·neighbor</cp:lastModifiedBy>
  <dcterms:modified xsi:type="dcterms:W3CDTF">2019-02-19T02:01:19Z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