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集贤县物价监督管理局</w:t>
      </w:r>
    </w:p>
    <w:p>
      <w:pPr>
        <w:spacing w:line="360" w:lineRule="auto"/>
        <w:jc w:val="center"/>
        <w:rPr>
          <w:rFonts w:ascii="仿宋" w:hAnsi="仿宋" w:eastAsia="仿宋" w:cs="仿宋"/>
          <w:b/>
          <w:bCs/>
          <w:sz w:val="52"/>
          <w:szCs w:val="52"/>
        </w:rPr>
      </w:pPr>
      <w:r>
        <w:rPr>
          <w:rFonts w:hint="eastAsia" w:ascii="仿宋" w:hAnsi="仿宋" w:eastAsia="仿宋" w:cs="仿宋"/>
          <w:b/>
          <w:bCs/>
          <w:sz w:val="44"/>
          <w:szCs w:val="44"/>
        </w:rPr>
        <w:t>2017年度部门决算信息及有关情况说明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    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人员构成</w:t>
      </w:r>
    </w:p>
    <w:p>
      <w:pPr>
        <w:widowControl/>
        <w:numPr>
          <w:ilvl w:val="0"/>
          <w:numId w:val="1"/>
        </w:numPr>
        <w:spacing w:line="360" w:lineRule="auto"/>
        <w:jc w:val="left"/>
        <w:rPr>
          <w:rFonts w:ascii="仿宋" w:hAnsi="仿宋" w:eastAsia="仿宋" w:cs="仿宋"/>
          <w:sz w:val="32"/>
          <w:szCs w:val="32"/>
          <w:highlight w:val="none"/>
        </w:rPr>
      </w:pPr>
      <w:r>
        <w:rPr>
          <w:rFonts w:hint="eastAsia" w:ascii="PMingLiU-ExtB" w:hAnsi="PMingLiU-ExtB" w:eastAsia="PMingLiU-ExtB" w:cs="PMingLiU-ExtB"/>
          <w:sz w:val="30"/>
          <w:szCs w:val="30"/>
          <w:highlight w:val="none"/>
          <w:lang w:val="en-US" w:eastAsia="zh-CN"/>
        </w:rPr>
        <w:t>部门决算编报范围</w:t>
      </w:r>
    </w:p>
    <w:p>
      <w:pPr>
        <w:spacing w:line="360" w:lineRule="auto"/>
        <w:ind w:firstLine="964" w:firstLineChars="300"/>
        <w:rPr>
          <w:rFonts w:ascii="仿宋" w:hAnsi="仿宋" w:eastAsia="仿宋" w:cs="仿宋"/>
          <w:b/>
          <w:sz w:val="32"/>
          <w:szCs w:val="32"/>
        </w:rPr>
      </w:pPr>
      <w:r>
        <w:rPr>
          <w:rFonts w:hint="eastAsia" w:ascii="仿宋" w:hAnsi="仿宋" w:eastAsia="仿宋" w:cs="仿宋"/>
          <w:b/>
          <w:sz w:val="32"/>
          <w:szCs w:val="32"/>
        </w:rPr>
        <w:t xml:space="preserve">    第二部分 2017年部门预算执行总体情况说明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 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w:t>
      </w: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第四部分  2017年度部门决算公开表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b/>
          <w:bCs/>
          <w:sz w:val="32"/>
          <w:szCs w:val="32"/>
        </w:rPr>
      </w:pPr>
      <w:r>
        <w:rPr>
          <w:rFonts w:hint="eastAsia" w:ascii="仿宋" w:hAnsi="仿宋" w:eastAsia="仿宋" w:cs="仿宋"/>
          <w:b/>
          <w:bCs/>
          <w:sz w:val="32"/>
          <w:szCs w:val="32"/>
        </w:rPr>
        <w:t xml:space="preserve">               第一部分  单位基本情况</w:t>
      </w:r>
    </w:p>
    <w:p>
      <w:pPr>
        <w:spacing w:line="360" w:lineRule="auto"/>
        <w:rPr>
          <w:rFonts w:ascii="仿宋" w:hAnsi="仿宋" w:eastAsia="仿宋" w:cs="仿宋"/>
          <w:b/>
          <w:bCs/>
          <w:sz w:val="32"/>
          <w:szCs w:val="32"/>
        </w:rPr>
      </w:pP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一、部门职责</w:t>
      </w:r>
    </w:p>
    <w:p>
      <w:pPr>
        <w:spacing w:line="660" w:lineRule="exact"/>
        <w:ind w:firstLine="600" w:firstLineChars="200"/>
        <w:rPr>
          <w:rFonts w:ascii="仿宋" w:hAnsi="仿宋" w:eastAsia="仿宋" w:cs="仿宋"/>
          <w:sz w:val="30"/>
          <w:szCs w:val="30"/>
        </w:rPr>
      </w:pPr>
      <w:r>
        <w:rPr>
          <w:rFonts w:hint="eastAsia" w:ascii="仿宋" w:hAnsi="仿宋" w:eastAsia="仿宋" w:cs="仿宋"/>
          <w:sz w:val="30"/>
          <w:szCs w:val="30"/>
        </w:rPr>
        <w:t>主要职责：</w:t>
      </w:r>
    </w:p>
    <w:p>
      <w:pPr>
        <w:spacing w:line="660" w:lineRule="exact"/>
        <w:ind w:firstLine="640" w:firstLineChars="200"/>
        <w:rPr>
          <w:rFonts w:ascii="仿宋_GB2312" w:eastAsia="仿宋_GB2312"/>
          <w:sz w:val="30"/>
          <w:szCs w:val="30"/>
        </w:rPr>
      </w:pPr>
      <w:r>
        <w:rPr>
          <w:rFonts w:hint="eastAsia" w:ascii="仿宋_GB2312" w:eastAsia="仿宋_GB2312"/>
          <w:sz w:val="32"/>
          <w:szCs w:val="32"/>
        </w:rPr>
        <w:t>（</w:t>
      </w:r>
      <w:r>
        <w:rPr>
          <w:rFonts w:hint="eastAsia" w:ascii="仿宋_GB2312" w:eastAsia="仿宋_GB2312"/>
          <w:sz w:val="30"/>
          <w:szCs w:val="30"/>
        </w:rPr>
        <w:t>一）负责</w:t>
      </w:r>
      <w:r>
        <w:rPr>
          <w:rFonts w:hint="eastAsia" w:ascii="仿宋" w:hAnsi="仿宋" w:eastAsia="仿宋"/>
          <w:sz w:val="30"/>
          <w:szCs w:val="30"/>
        </w:rPr>
        <w:t>贯彻执行党和国家物价方针政策；深化价格改革，建立和完善价格形成机制，拟订地方性价格管理的规章制度；综合运用经济手段、法律手段和必要的行政手段，保持区域内价格总水平的基本稳定。</w:t>
      </w:r>
    </w:p>
    <w:p>
      <w:pPr>
        <w:tabs>
          <w:tab w:val="left" w:pos="735"/>
        </w:tabs>
        <w:spacing w:line="660" w:lineRule="exact"/>
        <w:ind w:firstLine="600" w:firstLineChars="200"/>
        <w:rPr>
          <w:rFonts w:ascii="仿宋" w:hAnsi="仿宋" w:eastAsia="仿宋"/>
          <w:sz w:val="30"/>
          <w:szCs w:val="30"/>
        </w:rPr>
      </w:pPr>
      <w:r>
        <w:rPr>
          <w:rFonts w:hint="eastAsia" w:ascii="仿宋_GB2312" w:eastAsia="仿宋_GB2312"/>
          <w:sz w:val="30"/>
          <w:szCs w:val="30"/>
        </w:rPr>
        <w:t>（二）</w:t>
      </w:r>
      <w:r>
        <w:rPr>
          <w:rFonts w:hint="eastAsia" w:ascii="仿宋" w:hAnsi="仿宋" w:eastAsia="仿宋"/>
          <w:sz w:val="30"/>
          <w:szCs w:val="30"/>
        </w:rPr>
        <w:t>负责管理和规范各种国家机关收费、公益事业收费、公用事业收费、中介服务收费和重要的经营性收费；实施各项收费单位情况和收支状况报告制度。</w:t>
      </w:r>
    </w:p>
    <w:p>
      <w:pPr>
        <w:tabs>
          <w:tab w:val="left" w:pos="735"/>
        </w:tabs>
        <w:spacing w:line="660" w:lineRule="exact"/>
        <w:ind w:firstLine="600" w:firstLineChars="200"/>
        <w:rPr>
          <w:rFonts w:ascii="仿宋" w:hAnsi="仿宋" w:eastAsia="仿宋"/>
          <w:sz w:val="30"/>
          <w:szCs w:val="30"/>
        </w:rPr>
      </w:pPr>
      <w:r>
        <w:rPr>
          <w:rFonts w:hint="eastAsia" w:ascii="仿宋_GB2312" w:eastAsia="仿宋_GB2312"/>
          <w:sz w:val="30"/>
          <w:szCs w:val="30"/>
        </w:rPr>
        <w:t>（三）</w:t>
      </w:r>
      <w:r>
        <w:rPr>
          <w:rFonts w:hint="eastAsia" w:ascii="仿宋" w:hAnsi="仿宋" w:eastAsia="仿宋"/>
          <w:sz w:val="30"/>
          <w:szCs w:val="30"/>
        </w:rPr>
        <w:t>负责商品价格和收费监督检查，负责反垄断价格执法工作；按照价格管理权限，管好区域内国家和省管商品价格；对拟调整的商品价格进行审核报批；对重要商品价格实行直接管理，规范区域内放开的商品价格行为。</w:t>
      </w:r>
    </w:p>
    <w:p>
      <w:pPr>
        <w:ind w:firstLine="588" w:firstLineChars="196"/>
        <w:rPr>
          <w:rFonts w:ascii="仿宋" w:hAnsi="仿宋" w:eastAsia="仿宋"/>
          <w:sz w:val="30"/>
          <w:szCs w:val="30"/>
        </w:rPr>
      </w:pPr>
      <w:r>
        <w:rPr>
          <w:rFonts w:hint="eastAsia" w:ascii="仿宋_GB2312" w:eastAsia="仿宋_GB2312"/>
          <w:sz w:val="30"/>
          <w:szCs w:val="30"/>
        </w:rPr>
        <w:t>（四）</w:t>
      </w:r>
      <w:r>
        <w:rPr>
          <w:rFonts w:hint="eastAsia" w:ascii="仿宋" w:hAnsi="仿宋" w:eastAsia="仿宋"/>
          <w:sz w:val="30"/>
          <w:szCs w:val="30"/>
        </w:rPr>
        <w:t>负责涉案财物的价格认定工作。</w:t>
      </w:r>
    </w:p>
    <w:p>
      <w:pPr>
        <w:widowControl/>
        <w:spacing w:line="560" w:lineRule="atLeast"/>
        <w:ind w:left="628"/>
        <w:rPr>
          <w:rFonts w:ascii="仿宋" w:hAnsi="仿宋" w:eastAsia="仿宋" w:cs="仿宋"/>
          <w:b/>
          <w:bCs/>
          <w:sz w:val="30"/>
          <w:szCs w:val="30"/>
        </w:rPr>
      </w:pPr>
      <w:r>
        <w:rPr>
          <w:rFonts w:hint="eastAsia" w:ascii="仿宋" w:hAnsi="仿宋" w:eastAsia="仿宋"/>
          <w:sz w:val="30"/>
          <w:szCs w:val="30"/>
        </w:rPr>
        <w:t>（五）完成县政府及上级业务部门交办的其他工作。</w:t>
      </w:r>
      <w:r>
        <w:rPr>
          <w:rFonts w:hint="eastAsia" w:ascii="仿宋" w:hAnsi="仿宋" w:eastAsia="仿宋" w:cs="仿宋"/>
          <w:b/>
          <w:bCs/>
          <w:sz w:val="30"/>
          <w:szCs w:val="30"/>
        </w:rPr>
        <w:t xml:space="preserve">   </w:t>
      </w:r>
    </w:p>
    <w:p>
      <w:pPr>
        <w:spacing w:line="360" w:lineRule="auto"/>
        <w:ind w:firstLine="643" w:firstLineChars="200"/>
        <w:rPr>
          <w:rFonts w:ascii="仿宋" w:hAnsi="仿宋" w:eastAsia="仿宋" w:cs="仿宋"/>
          <w:b/>
          <w:bCs/>
          <w:color w:val="FF0000"/>
          <w:sz w:val="32"/>
          <w:szCs w:val="32"/>
        </w:rPr>
      </w:pPr>
      <w:r>
        <w:rPr>
          <w:rFonts w:hint="eastAsia" w:ascii="仿宋" w:hAnsi="仿宋" w:eastAsia="仿宋" w:cs="仿宋"/>
          <w:b/>
          <w:bCs/>
          <w:sz w:val="32"/>
          <w:szCs w:val="32"/>
        </w:rPr>
        <w:t>二、机构设置</w:t>
      </w:r>
    </w:p>
    <w:p>
      <w:pPr>
        <w:spacing w:line="560" w:lineRule="exact"/>
        <w:ind w:firstLine="600" w:firstLineChars="200"/>
        <w:rPr>
          <w:rFonts w:ascii="仿宋_GB2312" w:eastAsia="仿宋_GB2312"/>
          <w:sz w:val="30"/>
          <w:szCs w:val="30"/>
        </w:rPr>
      </w:pPr>
      <w:r>
        <w:rPr>
          <w:rFonts w:hint="eastAsia" w:ascii="仿宋_GB2312" w:eastAsia="仿宋_GB2312"/>
          <w:sz w:val="30"/>
          <w:szCs w:val="30"/>
        </w:rPr>
        <w:t>根据主要职责集贤县物价监督管理局内设机构分别为价格业务管理股、价格监督检查股、价格认定股（集贤县价格认定中心）。</w:t>
      </w:r>
    </w:p>
    <w:p>
      <w:pPr>
        <w:spacing w:line="360" w:lineRule="auto"/>
        <w:ind w:firstLine="602" w:firstLineChars="200"/>
        <w:rPr>
          <w:rFonts w:ascii="仿宋" w:hAnsi="仿宋" w:eastAsia="仿宋" w:cs="仿宋"/>
          <w:b/>
          <w:bCs/>
          <w:sz w:val="30"/>
          <w:szCs w:val="30"/>
        </w:rPr>
      </w:pP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三、人员构成 </w:t>
      </w:r>
    </w:p>
    <w:p>
      <w:pPr>
        <w:widowControl/>
        <w:spacing w:line="315" w:lineRule="atLeast"/>
        <w:ind w:firstLine="628"/>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宋体"/>
          <w:color w:val="000000"/>
          <w:kern w:val="0"/>
          <w:sz w:val="30"/>
          <w:szCs w:val="30"/>
        </w:rPr>
        <w:t>集贤县物价监督管理局总人数22人，其中：在职职工12人，离休人员1人，退休人员9人。</w:t>
      </w:r>
      <w:r>
        <w:rPr>
          <w:rFonts w:hint="eastAsia" w:ascii="仿宋" w:hAnsi="仿宋" w:eastAsia="仿宋" w:cs="仿宋"/>
          <w:sz w:val="30"/>
          <w:szCs w:val="30"/>
        </w:rPr>
        <w:t xml:space="preserve"> </w:t>
      </w:r>
    </w:p>
    <w:p>
      <w:pPr>
        <w:spacing w:line="360" w:lineRule="auto"/>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四、部门决算编报范围</w:t>
      </w:r>
    </w:p>
    <w:p>
      <w:pPr>
        <w:widowControl/>
        <w:spacing w:line="315" w:lineRule="atLeast"/>
        <w:ind w:firstLine="628"/>
        <w:rPr>
          <w:rFonts w:hint="eastAsia" w:ascii="仿宋" w:hAnsi="仿宋" w:eastAsia="仿宋" w:cs="仿宋"/>
          <w:color w:val="000000"/>
          <w:kern w:val="0"/>
          <w:sz w:val="30"/>
          <w:szCs w:val="30"/>
          <w:highlight w:val="none"/>
          <w:lang w:val="en-US" w:bidi="ar"/>
        </w:rPr>
      </w:pPr>
      <w:r>
        <w:rPr>
          <w:rFonts w:hint="eastAsia" w:ascii="仿宋" w:hAnsi="仿宋" w:eastAsia="仿宋" w:cs="仿宋"/>
          <w:color w:val="000000"/>
          <w:kern w:val="0"/>
          <w:sz w:val="30"/>
          <w:szCs w:val="30"/>
          <w:highlight w:val="none"/>
          <w:lang w:val="en-US" w:eastAsia="zh-CN" w:bidi="ar"/>
        </w:rPr>
        <w:t>201</w:t>
      </w:r>
      <w:r>
        <w:rPr>
          <w:rFonts w:hint="eastAsia" w:ascii="仿宋" w:hAnsi="仿宋" w:eastAsia="仿宋" w:cs="仿宋"/>
          <w:color w:val="000000"/>
          <w:kern w:val="0"/>
          <w:sz w:val="30"/>
          <w:szCs w:val="30"/>
          <w:highlight w:val="none"/>
          <w:lang w:val="en-US" w:eastAsia="zh-CN" w:bidi="ar"/>
        </w:rPr>
        <w:t>7年</w:t>
      </w:r>
      <w:r>
        <w:rPr>
          <w:rFonts w:hint="eastAsia" w:ascii="仿宋" w:hAnsi="仿宋" w:eastAsia="仿宋" w:cs="仿宋"/>
          <w:color w:val="000000"/>
          <w:kern w:val="0"/>
          <w:sz w:val="30"/>
          <w:szCs w:val="30"/>
          <w:highlight w:val="none"/>
          <w:lang w:val="en-US" w:eastAsia="zh-CN" w:bidi="ar"/>
        </w:rPr>
        <w:t>度纳入本部门</w:t>
      </w:r>
      <w:r>
        <w:rPr>
          <w:rFonts w:hint="eastAsia" w:ascii="仿宋" w:hAnsi="仿宋" w:eastAsia="仿宋" w:cs="仿宋"/>
          <w:color w:val="000000"/>
          <w:kern w:val="0"/>
          <w:sz w:val="30"/>
          <w:szCs w:val="30"/>
          <w:highlight w:val="none"/>
          <w:lang w:val="en-US" w:eastAsia="zh-CN" w:bidi="ar"/>
        </w:rPr>
        <w:t>决算的编制范围</w:t>
      </w:r>
      <w:r>
        <w:rPr>
          <w:rFonts w:hint="eastAsia" w:ascii="仿宋" w:hAnsi="仿宋" w:eastAsia="仿宋" w:cs="仿宋"/>
          <w:color w:val="000000"/>
          <w:kern w:val="0"/>
          <w:sz w:val="30"/>
          <w:szCs w:val="30"/>
          <w:highlight w:val="none"/>
          <w:lang w:val="en-US" w:eastAsia="zh-CN" w:bidi="ar"/>
        </w:rPr>
        <w:t>的单位有 1 个，为集贤县物价监督管理局</w:t>
      </w:r>
      <w:r>
        <w:rPr>
          <w:rFonts w:hint="eastAsia" w:ascii="仿宋" w:hAnsi="仿宋" w:eastAsia="仿宋" w:cs="仿宋"/>
          <w:color w:val="000000"/>
          <w:kern w:val="0"/>
          <w:sz w:val="30"/>
          <w:szCs w:val="30"/>
          <w:highlight w:val="none"/>
          <w:lang w:val="en-US" w:eastAsia="zh-CN" w:bidi="ar"/>
        </w:rPr>
        <w:t>。</w:t>
      </w:r>
      <w:bookmarkStart w:id="0" w:name="_GoBack"/>
      <w:bookmarkEnd w:id="0"/>
    </w:p>
    <w:p>
      <w:pPr>
        <w:widowControl/>
        <w:spacing w:line="315" w:lineRule="atLeast"/>
        <w:ind w:firstLine="628"/>
        <w:rPr>
          <w:rFonts w:hint="eastAsia" w:ascii="仿宋" w:hAnsi="仿宋" w:eastAsia="仿宋" w:cs="仿宋"/>
          <w:sz w:val="30"/>
          <w:szCs w:val="30"/>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 2017年部门预算执行总体情况说明</w:t>
      </w:r>
    </w:p>
    <w:p>
      <w:pPr>
        <w:spacing w:line="360" w:lineRule="auto"/>
        <w:jc w:val="left"/>
        <w:rPr>
          <w:rFonts w:ascii="仿宋" w:hAnsi="仿宋" w:eastAsia="仿宋" w:cs="仿宋"/>
          <w:sz w:val="32"/>
          <w:szCs w:val="32"/>
        </w:rPr>
      </w:pP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kern w:val="0"/>
          <w:sz w:val="30"/>
          <w:szCs w:val="30"/>
          <w:highlight w:val="none"/>
          <w:u w:val="none"/>
        </w:rPr>
        <w:t>2017年度部门决算本年收入</w:t>
      </w:r>
      <w:r>
        <w:rPr>
          <w:rFonts w:hint="eastAsia" w:ascii="仿宋" w:hAnsi="仿宋" w:eastAsia="仿宋" w:cs="仿宋"/>
          <w:kern w:val="0"/>
          <w:sz w:val="30"/>
          <w:szCs w:val="30"/>
          <w:highlight w:val="none"/>
          <w:u w:val="none"/>
          <w:lang w:val="en-US" w:eastAsia="zh-CN"/>
        </w:rPr>
        <w:t>164.45</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用事业基金弥补收支差额</w:t>
      </w:r>
      <w:r>
        <w:rPr>
          <w:rFonts w:hint="eastAsia" w:ascii="仿宋" w:hAnsi="仿宋" w:eastAsia="仿宋" w:cs="仿宋"/>
          <w:kern w:val="0"/>
          <w:sz w:val="30"/>
          <w:szCs w:val="30"/>
          <w:highlight w:val="none"/>
          <w:u w:val="none"/>
          <w:lang w:val="en-US" w:eastAsia="zh-CN"/>
        </w:rPr>
        <w:t xml:space="preserve"> 0</w:t>
      </w:r>
      <w:r>
        <w:rPr>
          <w:rFonts w:hint="eastAsia" w:ascii="仿宋" w:hAnsi="仿宋" w:eastAsia="仿宋" w:cs="仿宋"/>
          <w:kern w:val="0"/>
          <w:sz w:val="30"/>
          <w:szCs w:val="30"/>
          <w:highlight w:val="none"/>
          <w:u w:val="none"/>
        </w:rPr>
        <w:t>万元</w:t>
      </w:r>
      <w:r>
        <w:rPr>
          <w:rFonts w:hint="eastAsia" w:ascii="仿宋" w:hAnsi="仿宋" w:eastAsia="仿宋" w:cs="仿宋"/>
          <w:kern w:val="0"/>
          <w:sz w:val="30"/>
          <w:szCs w:val="30"/>
          <w:highlight w:val="none"/>
          <w:u w:val="none"/>
          <w:lang w:eastAsia="zh-CN"/>
        </w:rPr>
        <w:t>；</w:t>
      </w:r>
      <w:r>
        <w:rPr>
          <w:rFonts w:hint="eastAsia" w:ascii="仿宋" w:hAnsi="仿宋" w:eastAsia="仿宋" w:cs="仿宋"/>
          <w:kern w:val="0"/>
          <w:sz w:val="30"/>
          <w:szCs w:val="30"/>
          <w:highlight w:val="none"/>
          <w:u w:val="none"/>
        </w:rPr>
        <w:t>年初结转和结余</w:t>
      </w:r>
      <w:r>
        <w:rPr>
          <w:rFonts w:hint="eastAsia" w:ascii="仿宋" w:hAnsi="仿宋" w:eastAsia="仿宋" w:cs="仿宋"/>
          <w:kern w:val="0"/>
          <w:sz w:val="30"/>
          <w:szCs w:val="30"/>
          <w:highlight w:val="none"/>
          <w:u w:val="none"/>
          <w:lang w:val="en-US" w:eastAsia="zh-CN"/>
        </w:rPr>
        <w:t>7.51</w:t>
      </w:r>
      <w:r>
        <w:rPr>
          <w:rFonts w:hint="eastAsia" w:ascii="仿宋" w:hAnsi="仿宋" w:eastAsia="仿宋" w:cs="仿宋"/>
          <w:kern w:val="0"/>
          <w:sz w:val="30"/>
          <w:szCs w:val="30"/>
          <w:highlight w:val="none"/>
          <w:u w:val="none"/>
        </w:rPr>
        <w:t>万元。本年支出</w:t>
      </w:r>
      <w:r>
        <w:rPr>
          <w:rFonts w:hint="eastAsia" w:ascii="仿宋" w:hAnsi="仿宋" w:eastAsia="仿宋" w:cs="仿宋"/>
          <w:kern w:val="0"/>
          <w:sz w:val="30"/>
          <w:szCs w:val="30"/>
          <w:highlight w:val="none"/>
          <w:u w:val="none"/>
          <w:lang w:val="en-US" w:eastAsia="zh-CN"/>
        </w:rPr>
        <w:t>171.95</w:t>
      </w:r>
      <w:r>
        <w:rPr>
          <w:rFonts w:hint="eastAsia" w:ascii="仿宋" w:hAnsi="仿宋" w:eastAsia="仿宋" w:cs="仿宋"/>
          <w:kern w:val="0"/>
          <w:sz w:val="30"/>
          <w:szCs w:val="30"/>
          <w:highlight w:val="none"/>
          <w:u w:val="none"/>
        </w:rPr>
        <w:t>万元，；结余分配</w:t>
      </w:r>
      <w:r>
        <w:rPr>
          <w:rFonts w:hint="eastAsia" w:ascii="仿宋" w:hAnsi="仿宋" w:eastAsia="仿宋" w:cs="仿宋"/>
          <w:kern w:val="0"/>
          <w:sz w:val="30"/>
          <w:szCs w:val="30"/>
          <w:highlight w:val="none"/>
          <w:u w:val="none"/>
          <w:lang w:val="en-US" w:eastAsia="zh-CN"/>
        </w:rPr>
        <w:t>0</w:t>
      </w:r>
      <w:r>
        <w:rPr>
          <w:rFonts w:hint="eastAsia" w:ascii="仿宋" w:hAnsi="仿宋" w:eastAsia="仿宋" w:cs="仿宋"/>
          <w:kern w:val="0"/>
          <w:sz w:val="30"/>
          <w:szCs w:val="30"/>
          <w:highlight w:val="none"/>
          <w:u w:val="none"/>
        </w:rPr>
        <w:t>万元，年末结转和结余</w:t>
      </w:r>
      <w:r>
        <w:rPr>
          <w:rFonts w:hint="eastAsia" w:ascii="仿宋" w:hAnsi="仿宋" w:eastAsia="仿宋" w:cs="仿宋"/>
          <w:kern w:val="0"/>
          <w:sz w:val="30"/>
          <w:szCs w:val="30"/>
          <w:highlight w:val="none"/>
          <w:u w:val="none"/>
          <w:lang w:val="en-US" w:eastAsia="zh-CN"/>
        </w:rPr>
        <w:t>0</w:t>
      </w:r>
      <w:r>
        <w:rPr>
          <w:rFonts w:hint="eastAsia" w:ascii="仿宋" w:hAnsi="仿宋" w:eastAsia="仿宋" w:cs="仿宋"/>
          <w:kern w:val="0"/>
          <w:sz w:val="30"/>
          <w:szCs w:val="30"/>
          <w:highlight w:val="none"/>
          <w:u w:val="none"/>
        </w:rPr>
        <w:t>万元。</w:t>
      </w:r>
      <w:r>
        <w:rPr>
          <w:rFonts w:hint="eastAsia" w:ascii="仿宋" w:hAnsi="仿宋" w:eastAsia="仿宋" w:cs="仿宋"/>
          <w:sz w:val="30"/>
          <w:szCs w:val="30"/>
        </w:rPr>
        <w:t>2017年度收、支总计171.95万元。与 2016 年相比，收、支总计均减少1.23万元，同比下降 0.7 %。主要原因：压缩经费。</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本年收入合计164.45万元，与2016相比，减少8.73万元，同比下降5.0%。主要原因：压缩经费。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其中：财政拨款收入164.13万元，占99.8%；事业收入 0 万元，占0 %；其他收入0.32万元，占0.2%。</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本年支出合计171.95万元，与2016相比，减少1.43万元，同比下降0.8%。主要原因：压缩经费。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其中：基本支出171.63万元，占99.8%；项目支出0.32万元，占0.2%。</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2017年度财政拨款收、支总计171.63万元。与 2016 年相比，财政拨款收、支总计各减少1.75万元，下降1.0%。主要原因：压缩经费。</w:t>
      </w:r>
    </w:p>
    <w:p>
      <w:pPr>
        <w:widowControl/>
        <w:numPr>
          <w:ilvl w:val="0"/>
          <w:numId w:val="4"/>
        </w:numPr>
        <w:spacing w:line="360" w:lineRule="auto"/>
        <w:jc w:val="left"/>
        <w:rPr>
          <w:rFonts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2017年度一般公共预算财政拨款支出171.63万元，比上年决算数减少1.75万元，下降1.0%，比2017年度年初预算数增加20.43万元，完成年初预算的135.1%，主要原因是人员工资调整。  </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（二）一般公共预算财政拨款支出决算结构情况。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2017年度一般公共预算财政拨款支出171.95万元，主要用于以下方面：一般公共服务支出（类）109.84万元，占63.9%；住房保障支出（类）6.72万元，占3.9%；社会保障和就业支出（类）55.4万元，占32.2 %。</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2017年度一般公共预算财政拨款支出年初预算为151.2万元，支出决算为171.95万元，完成年初预算的113.7%。其中：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  一般公共服务（类）发展和改革事务（款）</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1、物价管理（项）。年初预算为91.92万元，支出决算为109.84万元，完成年初预算的119.5%。决算数大于预算数的主要原因是2017年度人员经费根据相关政策和实际情况按要求执行。</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2、社会保障和就业支出（类）行政事业单位离退休 （款）未归口管理的行政单位离退休 （项）。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年初预算为55.6万元，支出决算为55.4万元，完成年初预算的99.6 %。决算数小于预算数的主要原因是退休人员减员。</w:t>
      </w:r>
    </w:p>
    <w:p>
      <w:pPr>
        <w:widowControl/>
        <w:numPr>
          <w:ilvl w:val="0"/>
          <w:numId w:val="5"/>
        </w:numPr>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住房保障支出（类）住房改革支出(款）住房公积金（项）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年初预算为3.68万元，支出决算为6.72万元，完成年初预算的182.6 %。决算数大于预算数的主要原因是住房公积金缴存比率调整。</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 xml:space="preserve"> 六、一般公共预算财政拨款基本支出决算情况说明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2017年度一般公共预算财政拨款基本支出171.63万元，其中：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人员经费160.6万元，主要包括：基本工资、津贴补贴、奖金、离休费、退休费、抚恤金、生活补助、住房公积金、采暖补贴、其他对个人和家庭的补助支出；</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公用经费11.03万元，主要包括：办公费、印刷费、手续费、水费、邮电费、取暖费、差旅费、维修(护)费、会议费、培训费、劳务费、其他商品和服务支出、办公设备购置。</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   2017年度“三公”经费财政拨款支出预算为0万元，支出决算为0万元，完成预算的 0 %，2017年度“三公”经费支出决算数小于预算数的主要原因：无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其中：因公出国（境）费支出决算为 0万元，完成预算的 0%，因公出国（境）费支出决算数小于预算数的主要原因：无；公务用车购置及运行费支出决算为 0万元，完成预算的 0 %，公务用车购置及运行费支出决算数小于预算数的主要原因：无；公务接待费支出决算为0 万元，完成预算的 0  %，公务接待费支出决算数小于预算数的主要原因：无。</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三公”经费财政拨款支出决算数比2016年增加（减少）0万元，增长（下降）0 %，其中：因公出国（境）费支出决算增加（减少）0万元，增长（下降）0 %，原因为：无；公务用车购置及运行费支出决算增加（减少）0 万元，增长（下降） 0 %，原因为：无；公务接待费支出决算增加（减少）0 万元，增长（下降）0 %，原因为：无。</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2017年度“三公”经费财政拨款支出决算中，因公出国（境）费支出决算0万元，占0%；公务用车购置及运行费支出决算 0 万元，占0 %；公务接待费支出决算 0万元，占 0 %。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2.公务用车购置及运行费支出0万元。其中：公务用车购置费支出为0万元，公务用车购置数0 台；公务用车运行维护费0万元，公务用车保有量0台。</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3.公务接待费支出0万元。其中：国内公务接待费0万元，国内公务接待批次0个，国内公务接待人次0人；国（境）外公务接待费0万元，国（境）外公务接待批次0个，国（境）外公务接待人次0人。</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本年度没有政府性基金收入，也没有使用政府性基金安排的支出。与上年一致。</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九、预算绩效管理工作开展情况说明。</w:t>
      </w:r>
    </w:p>
    <w:p>
      <w:pPr>
        <w:widowControl/>
        <w:spacing w:line="360" w:lineRule="auto"/>
        <w:ind w:firstLine="600"/>
        <w:jc w:val="left"/>
        <w:rPr>
          <w:rFonts w:ascii="仿宋" w:hAnsi="仿宋" w:eastAsia="仿宋" w:cs="仿宋"/>
          <w:sz w:val="30"/>
          <w:szCs w:val="30"/>
        </w:rPr>
      </w:pPr>
      <w:r>
        <w:rPr>
          <w:rFonts w:hint="eastAsia" w:ascii="仿宋" w:hAnsi="仿宋" w:eastAsia="仿宋" w:cs="仿宋"/>
          <w:sz w:val="30"/>
          <w:szCs w:val="30"/>
        </w:rPr>
        <w:t>本年度没有预算绩效评价项目。</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（一）机关运行经费支出情况</w:t>
      </w:r>
    </w:p>
    <w:p>
      <w:pPr>
        <w:widowControl/>
        <w:spacing w:line="360" w:lineRule="auto"/>
        <w:ind w:firstLine="600"/>
        <w:jc w:val="left"/>
        <w:rPr>
          <w:rFonts w:ascii="仿宋" w:hAnsi="仿宋" w:eastAsia="仿宋" w:cs="仿宋"/>
          <w:sz w:val="30"/>
          <w:szCs w:val="30"/>
        </w:rPr>
      </w:pPr>
      <w:r>
        <w:rPr>
          <w:rFonts w:hint="eastAsia" w:ascii="仿宋" w:hAnsi="仿宋" w:eastAsia="仿宋" w:cs="仿宋"/>
          <w:sz w:val="30"/>
          <w:szCs w:val="30"/>
        </w:rPr>
        <w:t xml:space="preserve">2017年度机关运行经费支出11.03万元，较2016年增加0.68   万元，同比增长6.5%。主要原因是：加强市场监管力度。         </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 xml:space="preserve">   2017年度，政府采购支出总额0万元，其中：政府采购货物支出     万元、政府采购工程支出 0万元、政府采购服务支出0 万元。授予中小企业合同金额 0万元，占政府采购支出总额的0 %，其中：授予小微企业合同金额 0万元，占政府采购支出总额的0 %。</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（三）国有资产占用情况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 xml:space="preserve">    截至2017年12月31日，共有车辆 0辆，其中，部级领导干部用车 0辆、一般公务用车0辆、一般执法执勤用车0辆、特种专业技术用车0辆、其他用车0辆， 单位价值50万元以上通用设备0台（套），单位价值在100万以上的专用设备 0台(套)。</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 名词解释</w:t>
      </w:r>
    </w:p>
    <w:p>
      <w:pPr>
        <w:spacing w:line="360" w:lineRule="auto"/>
        <w:rPr>
          <w:rFonts w:ascii="仿宋" w:hAnsi="仿宋" w:eastAsia="仿宋" w:cs="仿宋"/>
          <w:sz w:val="30"/>
          <w:szCs w:val="30"/>
        </w:rPr>
      </w:pPr>
    </w:p>
    <w:p>
      <w:pPr>
        <w:spacing w:line="360" w:lineRule="auto"/>
        <w:ind w:firstLine="660"/>
        <w:rPr>
          <w:rFonts w:ascii="仿宋" w:hAnsi="仿宋" w:eastAsia="仿宋" w:cs="仿宋"/>
          <w:sz w:val="32"/>
          <w:szCs w:val="32"/>
        </w:rPr>
      </w:pPr>
      <w:r>
        <w:rPr>
          <w:rFonts w:hint="eastAsia" w:ascii="仿宋" w:hAnsi="仿宋" w:eastAsia="仿宋" w:cs="仿宋"/>
          <w:sz w:val="30"/>
          <w:szCs w:val="30"/>
        </w:rPr>
        <w:t xml:space="preserve">根据《2017年政府收支分类科目》对2017年度部门决算公开中相关名词解释如下：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spacing w:line="360" w:lineRule="auto"/>
        <w:ind w:firstLine="660"/>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spacing w:line="360" w:lineRule="auto"/>
        <w:ind w:firstLine="660"/>
        <w:rPr>
          <w:rFonts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政府采购：</w:t>
      </w:r>
      <w:r>
        <w:rPr>
          <w:rFonts w:hint="eastAsia" w:ascii="仿宋" w:hAnsi="仿宋" w:eastAsia="仿宋" w:cs="仿宋"/>
          <w:sz w:val="30"/>
          <w:szCs w:val="30"/>
          <w:shd w:val="clear" w:color="auto" w:fill="FFFFFF"/>
        </w:rPr>
        <w:t>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Style w:val="8"/>
          <w:rFonts w:hint="eastAsia" w:ascii="仿宋" w:hAnsi="仿宋" w:eastAsia="仿宋" w:cs="仿宋"/>
          <w:sz w:val="30"/>
          <w:szCs w:val="30"/>
          <w:shd w:val="clear" w:color="auto" w:fill="FFFFFF"/>
        </w:rPr>
        <w:t>财政性资金</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和政府借款购买货物、工程和服务的行为。政府采购不仅是指具体的</w:t>
      </w:r>
      <w:r>
        <w:fldChar w:fldCharType="begin"/>
      </w:r>
      <w:r>
        <w:instrText xml:space="preserve"> HYPERLINK "http://baike.so.com/doc/4796448-5012566.html" \t "_blank" </w:instrText>
      </w:r>
      <w:r>
        <w:fldChar w:fldCharType="separate"/>
      </w:r>
      <w:r>
        <w:rPr>
          <w:rStyle w:val="8"/>
          <w:rFonts w:hint="eastAsia" w:ascii="仿宋" w:hAnsi="仿宋" w:eastAsia="仿宋" w:cs="仿宋"/>
          <w:sz w:val="30"/>
          <w:szCs w:val="30"/>
          <w:shd w:val="clear" w:color="auto" w:fill="FFFFFF"/>
        </w:rPr>
        <w:t>采购过程</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国有资产：</w:t>
      </w:r>
      <w:r>
        <w:rPr>
          <w:rFonts w:hint="eastAsia" w:ascii="仿宋" w:hAnsi="仿宋" w:eastAsia="仿宋" w:cs="仿宋"/>
          <w:sz w:val="30"/>
          <w:szCs w:val="30"/>
          <w:shd w:val="clear" w:color="auto" w:fill="FFFFFF"/>
        </w:rPr>
        <w:t>国有资产是法律上确定为国家所有并能为国家提供经济和</w:t>
      </w:r>
      <w:r>
        <w:fldChar w:fldCharType="begin"/>
      </w:r>
      <w:r>
        <w:instrText xml:space="preserve"> HYPERLINK "http://baike.so.com/doc/741806-785246.html" \t "_blank" </w:instrText>
      </w:r>
      <w:r>
        <w:fldChar w:fldCharType="separate"/>
      </w:r>
      <w:r>
        <w:rPr>
          <w:rStyle w:val="8"/>
          <w:rFonts w:hint="eastAsia" w:ascii="仿宋" w:hAnsi="仿宋" w:eastAsia="仿宋" w:cs="仿宋"/>
          <w:sz w:val="30"/>
          <w:szCs w:val="30"/>
          <w:shd w:val="clear" w:color="auto" w:fill="FFFFFF"/>
        </w:rPr>
        <w:t>社会效益</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的各种</w:t>
      </w:r>
      <w:r>
        <w:fldChar w:fldCharType="begin"/>
      </w:r>
      <w:r>
        <w:instrText xml:space="preserve"> HYPERLINK "http://baike.so.com/doc/7798608-8072703.html" \t "_blank" </w:instrText>
      </w:r>
      <w:r>
        <w:fldChar w:fldCharType="separate"/>
      </w:r>
      <w:r>
        <w:rPr>
          <w:rStyle w:val="8"/>
          <w:rFonts w:hint="eastAsia" w:ascii="仿宋" w:hAnsi="仿宋" w:eastAsia="仿宋" w:cs="仿宋"/>
          <w:sz w:val="30"/>
          <w:szCs w:val="30"/>
          <w:shd w:val="clear" w:color="auto" w:fill="FFFFFF"/>
        </w:rPr>
        <w:t>经济资源</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的总和。就是属于国家所有的一切</w:t>
      </w:r>
      <w:r>
        <w:fldChar w:fldCharType="begin"/>
      </w:r>
      <w:r>
        <w:instrText xml:space="preserve"> HYPERLINK "http://baike.so.com/doc/5368106-5603892.html" \t "_blank" </w:instrText>
      </w:r>
      <w:r>
        <w:fldChar w:fldCharType="separate"/>
      </w:r>
      <w:r>
        <w:rPr>
          <w:rStyle w:val="8"/>
          <w:rFonts w:hint="eastAsia" w:ascii="仿宋" w:hAnsi="仿宋" w:eastAsia="仿宋" w:cs="仿宋"/>
          <w:sz w:val="30"/>
          <w:szCs w:val="30"/>
          <w:shd w:val="clear" w:color="auto" w:fill="FFFFFF"/>
        </w:rPr>
        <w:t>财产</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和财</w:t>
      </w:r>
      <w:r>
        <w:fldChar w:fldCharType="begin"/>
      </w:r>
      <w:r>
        <w:instrText xml:space="preserve"> HYPERLINK "http://baike.so.com/doc/5399886-5637441.html" \t "_blank" </w:instrText>
      </w:r>
      <w:r>
        <w:fldChar w:fldCharType="separate"/>
      </w:r>
      <w:r>
        <w:rPr>
          <w:rStyle w:val="8"/>
          <w:rFonts w:hint="eastAsia" w:ascii="仿宋" w:hAnsi="仿宋" w:eastAsia="仿宋" w:cs="仿宋"/>
          <w:sz w:val="30"/>
          <w:szCs w:val="30"/>
          <w:shd w:val="clear" w:color="auto" w:fill="FFFFFF"/>
        </w:rPr>
        <w:t>产权</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利的总称。</w:t>
      </w:r>
      <w:r>
        <w:rPr>
          <w:rStyle w:val="10"/>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spacing w:line="360" w:lineRule="auto"/>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附件：2017年度部门决算公开表格</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财政拨款收入支出决算总表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 xml:space="preserve">             </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 xml:space="preserve">               </w:t>
      </w:r>
    </w:p>
    <w:p>
      <w:pPr>
        <w:spacing w:line="360" w:lineRule="auto"/>
        <w:ind w:firstLine="600" w:firstLineChars="200"/>
        <w:rPr>
          <w:rFonts w:ascii="仿宋" w:hAnsi="仿宋" w:eastAsia="仿宋" w:cs="仿宋"/>
          <w:kern w:val="0"/>
          <w:sz w:val="30"/>
          <w:szCs w:val="30"/>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- 6 -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D157CC"/>
    <w:multiLevelType w:val="singleLevel"/>
    <w:tmpl w:val="A9D157CC"/>
    <w:lvl w:ilvl="0" w:tentative="0">
      <w:start w:val="3"/>
      <w:numFmt w:val="decimal"/>
      <w:suff w:val="nothing"/>
      <w:lvlText w:val="%1、"/>
      <w:lvlJc w:val="left"/>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BBBFF09"/>
    <w:multiLevelType w:val="singleLevel"/>
    <w:tmpl w:val="5BBBFF09"/>
    <w:lvl w:ilvl="0" w:tentative="0">
      <w:start w:val="5"/>
      <w:numFmt w:val="chineseCounting"/>
      <w:suff w:val="nothing"/>
      <w:lvlText w:val="%1、"/>
      <w:lvlJc w:val="left"/>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41522A4"/>
    <w:rsid w:val="006E6A78"/>
    <w:rsid w:val="0073080F"/>
    <w:rsid w:val="008050C9"/>
    <w:rsid w:val="008557E7"/>
    <w:rsid w:val="00D9590B"/>
    <w:rsid w:val="00F82C66"/>
    <w:rsid w:val="00F8617E"/>
    <w:rsid w:val="012430ED"/>
    <w:rsid w:val="014A5949"/>
    <w:rsid w:val="023F13DB"/>
    <w:rsid w:val="026066D5"/>
    <w:rsid w:val="02EC7C1C"/>
    <w:rsid w:val="032D5CC6"/>
    <w:rsid w:val="03456C94"/>
    <w:rsid w:val="036A7041"/>
    <w:rsid w:val="03CD392E"/>
    <w:rsid w:val="04DF25D8"/>
    <w:rsid w:val="065D3951"/>
    <w:rsid w:val="06EE4F18"/>
    <w:rsid w:val="075B29A0"/>
    <w:rsid w:val="075F1F7C"/>
    <w:rsid w:val="08036ABD"/>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246A78"/>
    <w:rsid w:val="0D410992"/>
    <w:rsid w:val="0D5E7D65"/>
    <w:rsid w:val="10A739B1"/>
    <w:rsid w:val="124A2012"/>
    <w:rsid w:val="141522A4"/>
    <w:rsid w:val="145C1DAC"/>
    <w:rsid w:val="149D7C22"/>
    <w:rsid w:val="14C16853"/>
    <w:rsid w:val="15075333"/>
    <w:rsid w:val="164964BC"/>
    <w:rsid w:val="16531039"/>
    <w:rsid w:val="16EA1D4C"/>
    <w:rsid w:val="17667A1A"/>
    <w:rsid w:val="17A60DC6"/>
    <w:rsid w:val="180D60E6"/>
    <w:rsid w:val="187127B6"/>
    <w:rsid w:val="19663C21"/>
    <w:rsid w:val="19670D43"/>
    <w:rsid w:val="19AC136C"/>
    <w:rsid w:val="1B324E77"/>
    <w:rsid w:val="1C1E0652"/>
    <w:rsid w:val="1C3521E8"/>
    <w:rsid w:val="1DD71951"/>
    <w:rsid w:val="1E107C68"/>
    <w:rsid w:val="1E3E4241"/>
    <w:rsid w:val="1E7E4DD1"/>
    <w:rsid w:val="1EE81910"/>
    <w:rsid w:val="1F096E9E"/>
    <w:rsid w:val="209730DE"/>
    <w:rsid w:val="20DE39CC"/>
    <w:rsid w:val="21965ECE"/>
    <w:rsid w:val="22897FD1"/>
    <w:rsid w:val="22B54AA2"/>
    <w:rsid w:val="23C62C14"/>
    <w:rsid w:val="23EB4166"/>
    <w:rsid w:val="243B6E0E"/>
    <w:rsid w:val="246F00D9"/>
    <w:rsid w:val="258B1D72"/>
    <w:rsid w:val="25D0378A"/>
    <w:rsid w:val="26241031"/>
    <w:rsid w:val="262D370B"/>
    <w:rsid w:val="26B10EFE"/>
    <w:rsid w:val="274678A7"/>
    <w:rsid w:val="277C33F5"/>
    <w:rsid w:val="27AA352E"/>
    <w:rsid w:val="28415CB2"/>
    <w:rsid w:val="284819BC"/>
    <w:rsid w:val="293B5244"/>
    <w:rsid w:val="298D0FFB"/>
    <w:rsid w:val="2B2D1149"/>
    <w:rsid w:val="2BD33C97"/>
    <w:rsid w:val="2CBE5DC0"/>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864B31"/>
    <w:rsid w:val="37DD3D7B"/>
    <w:rsid w:val="380E2783"/>
    <w:rsid w:val="38A67532"/>
    <w:rsid w:val="38B91545"/>
    <w:rsid w:val="3942192D"/>
    <w:rsid w:val="395039EC"/>
    <w:rsid w:val="3A314861"/>
    <w:rsid w:val="3B057725"/>
    <w:rsid w:val="3B6067D0"/>
    <w:rsid w:val="3BDC189F"/>
    <w:rsid w:val="3C56526F"/>
    <w:rsid w:val="3CB6492A"/>
    <w:rsid w:val="3D0E0C91"/>
    <w:rsid w:val="3D4C6F00"/>
    <w:rsid w:val="3DC2625E"/>
    <w:rsid w:val="3E0C4CB4"/>
    <w:rsid w:val="3E890E84"/>
    <w:rsid w:val="3F1B0D68"/>
    <w:rsid w:val="3FCF46D7"/>
    <w:rsid w:val="4049017B"/>
    <w:rsid w:val="419732B8"/>
    <w:rsid w:val="42BD15F0"/>
    <w:rsid w:val="42C0261B"/>
    <w:rsid w:val="43342B06"/>
    <w:rsid w:val="439B0E5B"/>
    <w:rsid w:val="454D033D"/>
    <w:rsid w:val="454D1830"/>
    <w:rsid w:val="455A0572"/>
    <w:rsid w:val="455C498F"/>
    <w:rsid w:val="457E5F6B"/>
    <w:rsid w:val="4752048D"/>
    <w:rsid w:val="47E7503F"/>
    <w:rsid w:val="480B68BA"/>
    <w:rsid w:val="481C5784"/>
    <w:rsid w:val="48E37E88"/>
    <w:rsid w:val="490A248A"/>
    <w:rsid w:val="4A111454"/>
    <w:rsid w:val="4A7F6176"/>
    <w:rsid w:val="4B292024"/>
    <w:rsid w:val="4B863CA9"/>
    <w:rsid w:val="4BF91344"/>
    <w:rsid w:val="4CE65541"/>
    <w:rsid w:val="4D2219FF"/>
    <w:rsid w:val="4DFF3087"/>
    <w:rsid w:val="4EB457CE"/>
    <w:rsid w:val="4F5D4E27"/>
    <w:rsid w:val="504618A3"/>
    <w:rsid w:val="50D8162A"/>
    <w:rsid w:val="510F5285"/>
    <w:rsid w:val="51663AB7"/>
    <w:rsid w:val="519D0D67"/>
    <w:rsid w:val="5256154F"/>
    <w:rsid w:val="526410F9"/>
    <w:rsid w:val="52DA4F90"/>
    <w:rsid w:val="530A248E"/>
    <w:rsid w:val="532400E8"/>
    <w:rsid w:val="53493FE8"/>
    <w:rsid w:val="53DF1E0D"/>
    <w:rsid w:val="55722011"/>
    <w:rsid w:val="55750B95"/>
    <w:rsid w:val="55F213E7"/>
    <w:rsid w:val="564D307B"/>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5F054D2F"/>
    <w:rsid w:val="5F653ACF"/>
    <w:rsid w:val="601C7D6A"/>
    <w:rsid w:val="606B1DA7"/>
    <w:rsid w:val="60BF77ED"/>
    <w:rsid w:val="60FB2217"/>
    <w:rsid w:val="612D4AD1"/>
    <w:rsid w:val="61916FE3"/>
    <w:rsid w:val="61BC32CB"/>
    <w:rsid w:val="626A0CEB"/>
    <w:rsid w:val="62974C19"/>
    <w:rsid w:val="62FF022C"/>
    <w:rsid w:val="63144422"/>
    <w:rsid w:val="63441D54"/>
    <w:rsid w:val="640006FF"/>
    <w:rsid w:val="64636829"/>
    <w:rsid w:val="64E35DF7"/>
    <w:rsid w:val="65505D1E"/>
    <w:rsid w:val="657D0288"/>
    <w:rsid w:val="65924E36"/>
    <w:rsid w:val="6598638B"/>
    <w:rsid w:val="66A30172"/>
    <w:rsid w:val="66BB423A"/>
    <w:rsid w:val="67F87143"/>
    <w:rsid w:val="689913DD"/>
    <w:rsid w:val="69093FDB"/>
    <w:rsid w:val="6917546E"/>
    <w:rsid w:val="69C7339C"/>
    <w:rsid w:val="6A05571E"/>
    <w:rsid w:val="6B0A0C3B"/>
    <w:rsid w:val="6B4A2B57"/>
    <w:rsid w:val="6BD702C2"/>
    <w:rsid w:val="6C0C1489"/>
    <w:rsid w:val="6C6F6CF3"/>
    <w:rsid w:val="6D535020"/>
    <w:rsid w:val="6DBF5551"/>
    <w:rsid w:val="6E253E16"/>
    <w:rsid w:val="6E873D36"/>
    <w:rsid w:val="6EE3061B"/>
    <w:rsid w:val="6FCB38A4"/>
    <w:rsid w:val="70310EB8"/>
    <w:rsid w:val="71B7411E"/>
    <w:rsid w:val="72012B78"/>
    <w:rsid w:val="72DE3D50"/>
    <w:rsid w:val="73945713"/>
    <w:rsid w:val="7439147C"/>
    <w:rsid w:val="743B1C78"/>
    <w:rsid w:val="74460E9D"/>
    <w:rsid w:val="74492A3A"/>
    <w:rsid w:val="74B41077"/>
    <w:rsid w:val="75BE6124"/>
    <w:rsid w:val="75C475DB"/>
    <w:rsid w:val="75E406CC"/>
    <w:rsid w:val="76B41149"/>
    <w:rsid w:val="76F84DB1"/>
    <w:rsid w:val="77802CCF"/>
    <w:rsid w:val="77FD2102"/>
    <w:rsid w:val="7B483738"/>
    <w:rsid w:val="7D2865F7"/>
    <w:rsid w:val="7E223BE6"/>
    <w:rsid w:val="7E5163B7"/>
    <w:rsid w:val="7EFE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Autospacing="1"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10">
    <w:name w:val="apple-converted-space"/>
    <w:basedOn w:val="5"/>
    <w:qFormat/>
    <w:uiPriority w:val="0"/>
  </w:style>
  <w:style w:type="character" w:customStyle="1" w:styleId="11">
    <w:name w:val="页眉 Char"/>
    <w:basedOn w:val="5"/>
    <w:link w:val="3"/>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13</Pages>
  <Words>5056</Words>
  <Characters>1075</Characters>
  <Lines>8</Lines>
  <Paragraphs>12</Paragraphs>
  <TotalTime>2</TotalTime>
  <ScaleCrop>false</ScaleCrop>
  <LinksUpToDate>false</LinksUpToDate>
  <CharactersWithSpaces>6119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Administrator</cp:lastModifiedBy>
  <cp:lastPrinted>2018-10-11T06:46:00Z</cp:lastPrinted>
  <dcterms:modified xsi:type="dcterms:W3CDTF">2019-02-20T02:27:28Z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