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集贤县司法局</w:t>
      </w:r>
    </w:p>
    <w:p>
      <w:pPr>
        <w:spacing w:line="360" w:lineRule="auto"/>
        <w:jc w:val="center"/>
        <w:rPr>
          <w:rFonts w:ascii="仿宋" w:hAnsi="仿宋" w:eastAsia="仿宋" w:cs="仿宋"/>
          <w:b/>
          <w:bCs/>
          <w:sz w:val="52"/>
          <w:szCs w:val="52"/>
        </w:rPr>
      </w:pPr>
      <w:r>
        <w:rPr>
          <w:rFonts w:hint="eastAsia" w:ascii="仿宋" w:hAnsi="仿宋" w:eastAsia="仿宋" w:cs="仿宋"/>
          <w:b/>
          <w:bCs/>
          <w:sz w:val="44"/>
          <w:szCs w:val="44"/>
        </w:rPr>
        <w:t>2017年度部门决算信息及有关情况说明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    录</w:t>
      </w:r>
    </w:p>
    <w:p>
      <w:pPr>
        <w:spacing w:line="360" w:lineRule="auto"/>
        <w:jc w:val="center"/>
        <w:rPr>
          <w:rFonts w:ascii="仿宋" w:hAnsi="仿宋" w:eastAsia="仿宋" w:cs="仿宋"/>
          <w:b/>
          <w:bCs/>
          <w:sz w:val="44"/>
          <w:szCs w:val="44"/>
        </w:rPr>
      </w:pPr>
      <w:bookmarkStart w:id="0" w:name="_GoBack"/>
      <w:bookmarkEnd w:id="0"/>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PMingLiU-ExtB" w:hAnsi="PMingLiU-ExtB" w:eastAsia="PMingLiU-ExtB" w:cs="PMingLiU-ExtB"/>
          <w:sz w:val="30"/>
          <w:szCs w:val="30"/>
          <w:lang w:val="en-US" w:eastAsia="zh-CN"/>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PMingLiU-ExtB" w:hAnsi="PMingLiU-ExtB" w:eastAsia="PMingLiU-ExtB" w:cs="PMingLiU-ExtB"/>
          <w:sz w:val="30"/>
          <w:szCs w:val="30"/>
          <w:highlight w:val="none"/>
          <w:lang w:val="en-US" w:eastAsia="zh-CN"/>
        </w:rPr>
      </w:pPr>
      <w:r>
        <w:rPr>
          <w:rFonts w:hint="eastAsia" w:ascii="PMingLiU-ExtB" w:hAnsi="PMingLiU-ExtB" w:eastAsia="PMingLiU-ExtB" w:cs="PMingLiU-ExtB"/>
          <w:sz w:val="30"/>
          <w:szCs w:val="30"/>
          <w:highlight w:val="none"/>
          <w:lang w:val="en-US" w:eastAsia="zh-CN"/>
        </w:rPr>
        <w:t>部门决算编报范围</w:t>
      </w:r>
    </w:p>
    <w:p>
      <w:pPr>
        <w:spacing w:line="360" w:lineRule="auto"/>
        <w:ind w:firstLine="1928" w:firstLineChars="600"/>
        <w:rPr>
          <w:rFonts w:ascii="仿宋" w:hAnsi="仿宋" w:eastAsia="仿宋" w:cs="仿宋"/>
          <w:b/>
          <w:sz w:val="32"/>
          <w:szCs w:val="32"/>
        </w:rPr>
      </w:pPr>
      <w:r>
        <w:rPr>
          <w:rFonts w:hint="eastAsia" w:ascii="仿宋" w:hAnsi="仿宋" w:eastAsia="仿宋" w:cs="仿宋"/>
          <w:b/>
          <w:sz w:val="32"/>
          <w:szCs w:val="32"/>
        </w:rPr>
        <w:t xml:space="preserve"> 第二部分 2017年部门预算执行总体情况说明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w:t>
      </w: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第四部分  2017年度部门决算公开表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 xml:space="preserve">               第一部分  集贤县司法局基本情况</w:t>
      </w:r>
    </w:p>
    <w:p>
      <w:pPr>
        <w:spacing w:line="360" w:lineRule="auto"/>
        <w:rPr>
          <w:rFonts w:ascii="仿宋" w:hAnsi="仿宋" w:eastAsia="仿宋" w:cs="仿宋"/>
          <w:b/>
          <w:bCs/>
          <w:sz w:val="32"/>
          <w:szCs w:val="32"/>
        </w:rPr>
      </w:pP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一、部门职责</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（一）贯彻执行国家司法行政工作的方针、政策和有关法律法规，编制全县司法行政工作的中、长期规划和年度计划并组织实施。</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（二）负责全县依法治理工作，指导依法治县工作和对外法制宣传工作。</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（三）负责全县对被判处管制、宣告缓刑、假释或者暂予监外执行的罪犯依法实行社区矫正。负责全县刑满释放人员的安置帮教工作。</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（四）指导管理人民调解、基层司法所工作。负责管理法律服务市场，指导监督全县律师、公证和基层法律服务工作，负责全县律师、公证员、法律工作者执业资格的审查工作。</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（五）管理、指导全县的法律援助和服务工作。</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（六）指导全县法学教育和法学理论研究工作。</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（七）承办县政府和上级业务部门交办的其它工作。</w:t>
      </w:r>
    </w:p>
    <w:p>
      <w:pPr>
        <w:spacing w:line="360" w:lineRule="auto"/>
        <w:ind w:firstLine="482" w:firstLineChars="150"/>
        <w:rPr>
          <w:rFonts w:ascii="仿宋" w:hAnsi="仿宋" w:eastAsia="仿宋" w:cs="仿宋"/>
          <w:b/>
          <w:bCs/>
          <w:sz w:val="32"/>
          <w:szCs w:val="32"/>
        </w:rPr>
      </w:pPr>
      <w:r>
        <w:rPr>
          <w:rFonts w:hint="eastAsia" w:ascii="仿宋" w:hAnsi="仿宋" w:eastAsia="仿宋" w:cs="仿宋"/>
          <w:b/>
          <w:bCs/>
          <w:sz w:val="32"/>
          <w:szCs w:val="32"/>
        </w:rPr>
        <w:t>二、机构设置</w:t>
      </w:r>
    </w:p>
    <w:p>
      <w:pPr>
        <w:spacing w:line="58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根据上述职责，县司法局设5个内设机构：办公室、法宣股（依法治县办公室）、基层工作股、法律援助股（法律援助中心）、社区矫正工作股。</w:t>
      </w:r>
    </w:p>
    <w:p>
      <w:pPr>
        <w:spacing w:line="360" w:lineRule="auto"/>
        <w:ind w:firstLine="482" w:firstLineChars="150"/>
        <w:rPr>
          <w:rFonts w:ascii="仿宋" w:hAnsi="仿宋" w:eastAsia="仿宋" w:cs="仿宋"/>
          <w:b/>
          <w:bCs/>
          <w:sz w:val="32"/>
          <w:szCs w:val="32"/>
        </w:rPr>
      </w:pPr>
      <w:r>
        <w:rPr>
          <w:rFonts w:hint="eastAsia" w:ascii="仿宋" w:hAnsi="仿宋" w:eastAsia="仿宋" w:cs="仿宋"/>
          <w:b/>
          <w:bCs/>
          <w:sz w:val="32"/>
          <w:szCs w:val="32"/>
        </w:rPr>
        <w:t xml:space="preserve">三、人员构成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_GB2312"/>
          <w:sz w:val="30"/>
          <w:szCs w:val="30"/>
        </w:rPr>
      </w:pPr>
      <w:r>
        <w:rPr>
          <w:rFonts w:hint="eastAsia" w:ascii="仿宋" w:hAnsi="仿宋" w:eastAsia="仿宋" w:cs="仿宋_GB2312"/>
          <w:sz w:val="30"/>
          <w:szCs w:val="30"/>
        </w:rPr>
        <w:t>集贤县司法局年末机构实有人数为37人，其中，在职人员24人，离休人员1人，退休人员12人。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四、部门决算编报范围</w:t>
      </w:r>
    </w:p>
    <w:p>
      <w:pPr>
        <w:widowControl/>
        <w:spacing w:line="315" w:lineRule="atLeast"/>
        <w:ind w:firstLine="628"/>
        <w:rPr>
          <w:rFonts w:hint="eastAsia" w:ascii="仿宋" w:hAnsi="仿宋" w:eastAsia="仿宋" w:cs="仿宋"/>
          <w:color w:val="000000" w:themeColor="text1"/>
          <w:kern w:val="0"/>
          <w:sz w:val="30"/>
          <w:szCs w:val="30"/>
          <w:highlight w:val="none"/>
          <w:lang w:val="en-US" w:bidi="ar"/>
          <w14:textFill>
            <w14:solidFill>
              <w14:schemeClr w14:val="tx1"/>
            </w14:solidFill>
          </w14:textFill>
        </w:rPr>
      </w:pPr>
      <w:r>
        <w:rPr>
          <w:rFonts w:hint="eastAsia" w:ascii="仿宋" w:hAnsi="仿宋" w:eastAsia="仿宋" w:cs="仿宋"/>
          <w:color w:val="000000" w:themeColor="text1"/>
          <w:kern w:val="0"/>
          <w:sz w:val="30"/>
          <w:szCs w:val="30"/>
          <w:highlight w:val="none"/>
          <w:lang w:bidi="ar"/>
          <w14:textFill>
            <w14:solidFill>
              <w14:schemeClr w14:val="tx1"/>
            </w14:solidFill>
          </w14:textFill>
        </w:rPr>
        <w:t>201</w:t>
      </w:r>
      <w:r>
        <w:rPr>
          <w:rFonts w:hint="eastAsia" w:ascii="仿宋" w:hAnsi="仿宋" w:eastAsia="仿宋" w:cs="仿宋"/>
          <w:color w:val="000000" w:themeColor="text1"/>
          <w:kern w:val="0"/>
          <w:sz w:val="30"/>
          <w:szCs w:val="30"/>
          <w:highlight w:val="none"/>
          <w:lang w:val="en-US" w:eastAsia="zh-CN" w:bidi="ar"/>
          <w14:textFill>
            <w14:solidFill>
              <w14:schemeClr w14:val="tx1"/>
            </w14:solidFill>
          </w14:textFill>
        </w:rPr>
        <w:t>7</w:t>
      </w:r>
      <w:r>
        <w:rPr>
          <w:rFonts w:hint="eastAsia" w:ascii="仿宋" w:hAnsi="仿宋" w:eastAsia="仿宋" w:cs="仿宋"/>
          <w:color w:val="000000" w:themeColor="text1"/>
          <w:kern w:val="0"/>
          <w:sz w:val="30"/>
          <w:szCs w:val="30"/>
          <w:highlight w:val="none"/>
          <w:lang w:bidi="ar"/>
          <w14:textFill>
            <w14:solidFill>
              <w14:schemeClr w14:val="tx1"/>
            </w14:solidFill>
          </w14:textFill>
        </w:rPr>
        <w:t>年</w:t>
      </w:r>
      <w:r>
        <w:rPr>
          <w:rFonts w:hint="eastAsia" w:ascii="仿宋" w:hAnsi="仿宋" w:eastAsia="仿宋" w:cs="仿宋"/>
          <w:color w:val="000000" w:themeColor="text1"/>
          <w:kern w:val="0"/>
          <w:sz w:val="30"/>
          <w:szCs w:val="30"/>
          <w:highlight w:val="none"/>
          <w:lang w:val="en-US" w:eastAsia="zh-CN" w:bidi="ar"/>
          <w14:textFill>
            <w14:solidFill>
              <w14:schemeClr w14:val="tx1"/>
            </w14:solidFill>
          </w14:textFill>
        </w:rPr>
        <w:t>度纳入本</w:t>
      </w:r>
      <w:r>
        <w:rPr>
          <w:rFonts w:hint="eastAsia" w:ascii="仿宋" w:hAnsi="仿宋" w:eastAsia="仿宋" w:cs="仿宋"/>
          <w:color w:val="000000" w:themeColor="text1"/>
          <w:kern w:val="0"/>
          <w:sz w:val="30"/>
          <w:szCs w:val="30"/>
          <w:highlight w:val="none"/>
          <w:lang w:bidi="ar"/>
          <w14:textFill>
            <w14:solidFill>
              <w14:schemeClr w14:val="tx1"/>
            </w14:solidFill>
          </w14:textFill>
        </w:rPr>
        <w:t>部门</w:t>
      </w:r>
      <w:r>
        <w:rPr>
          <w:rFonts w:hint="eastAsia" w:ascii="仿宋" w:hAnsi="仿宋" w:eastAsia="仿宋" w:cs="仿宋"/>
          <w:color w:val="000000" w:themeColor="text1"/>
          <w:kern w:val="0"/>
          <w:sz w:val="30"/>
          <w:szCs w:val="30"/>
          <w:highlight w:val="none"/>
          <w:lang w:val="en-US" w:eastAsia="zh-CN" w:bidi="ar"/>
          <w14:textFill>
            <w14:solidFill>
              <w14:schemeClr w14:val="tx1"/>
            </w14:solidFill>
          </w14:textFill>
        </w:rPr>
        <w:t>决算</w:t>
      </w:r>
      <w:r>
        <w:rPr>
          <w:rFonts w:hint="eastAsia" w:ascii="仿宋" w:hAnsi="仿宋" w:eastAsia="仿宋" w:cs="仿宋"/>
          <w:color w:val="000000" w:themeColor="text1"/>
          <w:kern w:val="0"/>
          <w:sz w:val="30"/>
          <w:szCs w:val="30"/>
          <w:highlight w:val="none"/>
          <w:lang w:bidi="ar"/>
          <w14:textFill>
            <w14:solidFill>
              <w14:schemeClr w14:val="tx1"/>
            </w14:solidFill>
          </w14:textFill>
        </w:rPr>
        <w:t>的编制范围</w:t>
      </w:r>
      <w:r>
        <w:rPr>
          <w:rFonts w:hint="eastAsia" w:ascii="仿宋" w:hAnsi="仿宋" w:eastAsia="仿宋" w:cs="仿宋"/>
          <w:color w:val="000000" w:themeColor="text1"/>
          <w:kern w:val="0"/>
          <w:sz w:val="30"/>
          <w:szCs w:val="30"/>
          <w:highlight w:val="none"/>
          <w:lang w:val="en-US" w:eastAsia="zh-CN" w:bidi="ar"/>
          <w14:textFill>
            <w14:solidFill>
              <w14:schemeClr w14:val="tx1"/>
            </w14:solidFill>
          </w14:textFill>
        </w:rPr>
        <w:t>的单位有 1 个，为集贤县司法局。</w:t>
      </w:r>
    </w:p>
    <w:p>
      <w:pPr>
        <w:widowControl/>
        <w:numPr>
          <w:ilvl w:val="0"/>
          <w:numId w:val="4"/>
        </w:numPr>
        <w:spacing w:line="360" w:lineRule="auto"/>
        <w:ind w:firstLine="1606" w:firstLineChars="500"/>
        <w:jc w:val="left"/>
        <w:rPr>
          <w:rFonts w:hint="eastAsia" w:ascii="仿宋" w:hAnsi="仿宋" w:eastAsia="仿宋" w:cs="仿宋"/>
          <w:b/>
          <w:bCs/>
          <w:sz w:val="32"/>
          <w:szCs w:val="32"/>
        </w:rPr>
      </w:pPr>
      <w:r>
        <w:rPr>
          <w:rFonts w:hint="eastAsia" w:ascii="仿宋" w:hAnsi="仿宋" w:eastAsia="仿宋" w:cs="仿宋"/>
          <w:b/>
          <w:bCs/>
          <w:sz w:val="32"/>
          <w:szCs w:val="32"/>
        </w:rPr>
        <w:t>2017年部门预算执行总体情况说明</w:t>
      </w:r>
    </w:p>
    <w:p>
      <w:pPr>
        <w:widowControl/>
        <w:numPr>
          <w:numId w:val="0"/>
        </w:numPr>
        <w:spacing w:line="360" w:lineRule="auto"/>
        <w:jc w:val="left"/>
        <w:rPr>
          <w:rFonts w:hint="eastAsia" w:ascii="仿宋" w:hAnsi="仿宋" w:eastAsia="仿宋" w:cs="仿宋"/>
          <w:b/>
          <w:bCs/>
          <w:sz w:val="32"/>
          <w:szCs w:val="32"/>
        </w:rPr>
      </w:pP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ind w:firstLine="645"/>
        <w:rPr>
          <w:rFonts w:ascii="仿宋_GB2312" w:hAnsi="仿宋" w:eastAsia="仿宋_GB2312" w:cs="仿宋_GB2312"/>
          <w:color w:val="000000"/>
          <w:kern w:val="0"/>
          <w:sz w:val="30"/>
          <w:szCs w:val="30"/>
        </w:rPr>
      </w:pPr>
      <w:r>
        <w:rPr>
          <w:rFonts w:hint="eastAsia" w:ascii="仿宋" w:hAnsi="仿宋" w:eastAsia="仿宋" w:cs="仿宋"/>
          <w:kern w:val="0"/>
          <w:sz w:val="30"/>
          <w:szCs w:val="30"/>
          <w:highlight w:val="none"/>
          <w:u w:val="none"/>
        </w:rPr>
        <w:t>2017年度部门决算本年收入</w:t>
      </w:r>
      <w:r>
        <w:rPr>
          <w:rFonts w:hint="eastAsia" w:ascii="仿宋" w:hAnsi="仿宋" w:eastAsia="仿宋" w:cs="仿宋"/>
          <w:kern w:val="0"/>
          <w:sz w:val="30"/>
          <w:szCs w:val="30"/>
          <w:highlight w:val="none"/>
          <w:u w:val="none"/>
          <w:lang w:val="en-US" w:eastAsia="zh-CN"/>
        </w:rPr>
        <w:t>420.54</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用事业基金弥补收支差额</w:t>
      </w:r>
      <w:r>
        <w:rPr>
          <w:rFonts w:hint="eastAsia" w:ascii="仿宋" w:hAnsi="仿宋" w:eastAsia="仿宋" w:cs="仿宋"/>
          <w:kern w:val="0"/>
          <w:sz w:val="30"/>
          <w:szCs w:val="30"/>
          <w:highlight w:val="none"/>
          <w:u w:val="none"/>
          <w:lang w:val="en-US" w:eastAsia="zh-CN"/>
        </w:rPr>
        <w:t xml:space="preserve"> 0 </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年初结转和结余</w:t>
      </w:r>
      <w:r>
        <w:rPr>
          <w:rFonts w:hint="eastAsia" w:ascii="仿宋" w:hAnsi="仿宋" w:eastAsia="仿宋" w:cs="仿宋"/>
          <w:kern w:val="0"/>
          <w:sz w:val="30"/>
          <w:szCs w:val="30"/>
          <w:highlight w:val="none"/>
          <w:u w:val="none"/>
          <w:lang w:val="en-US" w:eastAsia="zh-CN"/>
        </w:rPr>
        <w:t>11.99</w:t>
      </w:r>
      <w:r>
        <w:rPr>
          <w:rFonts w:hint="eastAsia" w:ascii="仿宋" w:hAnsi="仿宋" w:eastAsia="仿宋" w:cs="仿宋"/>
          <w:kern w:val="0"/>
          <w:sz w:val="30"/>
          <w:szCs w:val="30"/>
          <w:highlight w:val="none"/>
          <w:u w:val="none"/>
        </w:rPr>
        <w:t>万元。本年支出</w:t>
      </w:r>
      <w:r>
        <w:rPr>
          <w:rFonts w:hint="eastAsia" w:ascii="仿宋" w:hAnsi="仿宋" w:eastAsia="仿宋" w:cs="仿宋"/>
          <w:kern w:val="0"/>
          <w:sz w:val="30"/>
          <w:szCs w:val="30"/>
          <w:highlight w:val="none"/>
          <w:u w:val="none"/>
          <w:lang w:val="en-US" w:eastAsia="zh-CN"/>
        </w:rPr>
        <w:t xml:space="preserve"> 379.58</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结余分配</w:t>
      </w:r>
      <w:r>
        <w:rPr>
          <w:rFonts w:hint="eastAsia" w:ascii="仿宋" w:hAnsi="仿宋" w:eastAsia="仿宋" w:cs="仿宋"/>
          <w:kern w:val="0"/>
          <w:sz w:val="30"/>
          <w:szCs w:val="30"/>
          <w:highlight w:val="none"/>
          <w:u w:val="none"/>
          <w:lang w:val="en-US" w:eastAsia="zh-CN"/>
        </w:rPr>
        <w:t xml:space="preserve"> 0 </w:t>
      </w:r>
      <w:r>
        <w:rPr>
          <w:rFonts w:hint="eastAsia" w:ascii="仿宋" w:hAnsi="仿宋" w:eastAsia="仿宋" w:cs="仿宋"/>
          <w:kern w:val="0"/>
          <w:sz w:val="30"/>
          <w:szCs w:val="30"/>
          <w:highlight w:val="none"/>
          <w:u w:val="none"/>
        </w:rPr>
        <w:t>万元，年末结转和结余</w:t>
      </w:r>
      <w:r>
        <w:rPr>
          <w:rFonts w:hint="eastAsia" w:ascii="仿宋" w:hAnsi="仿宋" w:eastAsia="仿宋" w:cs="仿宋"/>
          <w:kern w:val="0"/>
          <w:sz w:val="30"/>
          <w:szCs w:val="30"/>
          <w:highlight w:val="none"/>
          <w:u w:val="none"/>
          <w:lang w:val="en-US" w:eastAsia="zh-CN"/>
        </w:rPr>
        <w:t xml:space="preserve">52.95 </w:t>
      </w:r>
      <w:r>
        <w:rPr>
          <w:rFonts w:hint="eastAsia" w:ascii="仿宋" w:hAnsi="仿宋" w:eastAsia="仿宋" w:cs="仿宋"/>
          <w:kern w:val="0"/>
          <w:sz w:val="30"/>
          <w:szCs w:val="30"/>
          <w:highlight w:val="none"/>
          <w:u w:val="none"/>
        </w:rPr>
        <w:t>万元。</w:t>
      </w:r>
      <w:r>
        <w:rPr>
          <w:rFonts w:hint="eastAsia" w:ascii="仿宋" w:hAnsi="仿宋" w:eastAsia="仿宋" w:cs="仿宋"/>
          <w:sz w:val="30"/>
          <w:szCs w:val="30"/>
          <w:highlight w:val="none"/>
        </w:rPr>
        <w:t>2017年</w:t>
      </w:r>
      <w:r>
        <w:rPr>
          <w:rFonts w:hint="eastAsia" w:ascii="仿宋" w:hAnsi="仿宋" w:eastAsia="仿宋" w:cs="仿宋"/>
          <w:sz w:val="30"/>
          <w:szCs w:val="30"/>
        </w:rPr>
        <w:t>度收、支总计  432.53 万元。与 2016 年相比，收、支总计均增加68.6 万元，同比增长18.8 %。主要原因：</w:t>
      </w:r>
      <w:r>
        <w:rPr>
          <w:rFonts w:hint="eastAsia" w:ascii="仿宋_GB2312" w:hAnsi="宋体" w:eastAsia="仿宋_GB2312" w:cs="宋体"/>
          <w:color w:val="000000"/>
          <w:sz w:val="30"/>
          <w:szCs w:val="30"/>
        </w:rPr>
        <w:t>本年在职职工增加了政法津贴，业务费增加。</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ind w:firstLine="645"/>
        <w:rPr>
          <w:rFonts w:ascii="仿宋_GB2312" w:hAnsi="仿宋" w:eastAsia="仿宋_GB2312" w:cs="仿宋_GB2312"/>
          <w:color w:val="000000"/>
          <w:kern w:val="0"/>
          <w:sz w:val="30"/>
          <w:szCs w:val="30"/>
        </w:rPr>
      </w:pPr>
      <w:r>
        <w:rPr>
          <w:rFonts w:hint="eastAsia" w:ascii="仿宋" w:hAnsi="仿宋" w:eastAsia="仿宋" w:cs="仿宋"/>
          <w:sz w:val="30"/>
          <w:szCs w:val="30"/>
        </w:rPr>
        <w:t>本年收入合计 420.54 万元，与2016相比，增加65.88 万元，同比增长18.6 %。主要原因：</w:t>
      </w:r>
      <w:r>
        <w:rPr>
          <w:rFonts w:hint="eastAsia" w:ascii="仿宋_GB2312" w:hAnsi="宋体" w:eastAsia="仿宋_GB2312" w:cs="宋体"/>
          <w:color w:val="000000"/>
          <w:sz w:val="30"/>
          <w:szCs w:val="30"/>
        </w:rPr>
        <w:t>本年在职职工增加了政法津贴，业务费增加。</w:t>
      </w:r>
    </w:p>
    <w:p>
      <w:pPr>
        <w:widowControl/>
        <w:spacing w:line="360" w:lineRule="auto"/>
        <w:ind w:firstLine="450" w:firstLineChars="150"/>
        <w:jc w:val="left"/>
        <w:rPr>
          <w:rFonts w:ascii="仿宋" w:hAnsi="仿宋" w:eastAsia="仿宋" w:cs="仿宋"/>
          <w:sz w:val="30"/>
          <w:szCs w:val="30"/>
        </w:rPr>
      </w:pPr>
      <w:r>
        <w:rPr>
          <w:rFonts w:hint="eastAsia" w:ascii="仿宋" w:hAnsi="仿宋" w:eastAsia="仿宋" w:cs="仿宋"/>
          <w:sz w:val="30"/>
          <w:szCs w:val="30"/>
        </w:rPr>
        <w:t>其中：财政拨款收入  420.53 万元，占 99.9 %；事业收入 0  万元，占  0  %；其他收入0.01 万元，占0.01%。</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本年支出合计 379.58万元，与2016相比，增加27.64 万元，同比增长7.9 %。主要原因：社区矫正业务增加，普法宣传力度加大。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 340.52 万元，占89.7 %；项目支出  39.06 万元，占 10.3 %。</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ind w:firstLine="645"/>
        <w:rPr>
          <w:rFonts w:ascii="仿宋_GB2312" w:hAnsi="仿宋" w:eastAsia="仿宋_GB2312" w:cs="仿宋_GB2312"/>
          <w:color w:val="000000"/>
          <w:kern w:val="0"/>
          <w:sz w:val="30"/>
          <w:szCs w:val="30"/>
        </w:rPr>
      </w:pPr>
      <w:r>
        <w:rPr>
          <w:rFonts w:hint="eastAsia" w:ascii="仿宋" w:hAnsi="仿宋" w:eastAsia="仿宋" w:cs="仿宋"/>
          <w:sz w:val="30"/>
          <w:szCs w:val="30"/>
        </w:rPr>
        <w:t>2017年度财政拨款收、支总计  432.52 万元。与 2016 年相比，财政拨款收、支总计各增加  68.59 万元，增长18.8 %。主要原因：</w:t>
      </w:r>
      <w:r>
        <w:rPr>
          <w:rFonts w:hint="eastAsia" w:ascii="仿宋_GB2312" w:hAnsi="宋体" w:eastAsia="仿宋_GB2312" w:cs="宋体"/>
          <w:color w:val="000000"/>
          <w:sz w:val="30"/>
          <w:szCs w:val="30"/>
        </w:rPr>
        <w:t>本年在职职工增加了政法津贴，业务费增加。</w:t>
      </w:r>
    </w:p>
    <w:p>
      <w:pPr>
        <w:widowControl/>
        <w:numPr>
          <w:numId w:val="0"/>
        </w:numPr>
        <w:spacing w:line="360" w:lineRule="auto"/>
        <w:jc w:val="left"/>
        <w:rPr>
          <w:rFonts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2017年度一般公共预算财政拨款支出379.58 万元，比上年决算数增加  27.64万元，增长7.9 %，比2017年度年初预算数增加123.27   万元，完成年初预算的 148.0 %，主要原因是</w:t>
      </w:r>
      <w:r>
        <w:rPr>
          <w:rFonts w:hint="eastAsia" w:ascii="仿宋_GB2312" w:hAnsi="宋体" w:eastAsia="仿宋_GB2312" w:cs="宋体"/>
          <w:color w:val="000000"/>
          <w:sz w:val="30"/>
          <w:szCs w:val="30"/>
        </w:rPr>
        <w:t>本年在职职工增加了政法津贴，业务费增加。</w:t>
      </w:r>
      <w:r>
        <w:rPr>
          <w:rFonts w:hint="eastAsia" w:ascii="仿宋" w:hAnsi="仿宋" w:eastAsia="仿宋" w:cs="仿宋"/>
          <w:sz w:val="30"/>
          <w:szCs w:val="30"/>
        </w:rPr>
        <w:t xml:space="preserve"> </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 379.58 万元，主要用于以下方面：公共安全支出（类） 299.83 万元，占  79.0 %；社会保障和就业支出（类） 67.83 万元，占  17.9 %；住房保障支出（类）11.92    万元，占 3.1 %。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color w:val="000000" w:themeColor="text1"/>
          <w:sz w:val="30"/>
          <w:szCs w:val="30"/>
        </w:rPr>
      </w:pPr>
      <w:r>
        <w:rPr>
          <w:rFonts w:hint="eastAsia" w:ascii="仿宋" w:hAnsi="仿宋" w:eastAsia="仿宋" w:cs="仿宋"/>
          <w:sz w:val="30"/>
          <w:szCs w:val="30"/>
        </w:rPr>
        <w:t>2017年度一般公共预算财政拨款支出年初预算为 256.31万元，支出决算为  379.58万元，完成年初预算的  148.1%  。其中：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1、公共安全支出（类）司法（款）行政运行（项）。年初预算为     146.29万元，支出决算为   228.31 万元，完成年初预算的   156.1 %。决算数大于预算数的主要原因是</w:t>
      </w:r>
      <w:r>
        <w:rPr>
          <w:rFonts w:hint="eastAsia" w:ascii="仿宋" w:hAnsi="仿宋" w:eastAsia="仿宋" w:cs="宋体"/>
          <w:color w:val="000000"/>
          <w:sz w:val="30"/>
          <w:szCs w:val="30"/>
        </w:rPr>
        <w:t>本年在职职工增加了政法津贴</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_GB2312"/>
          <w:b/>
          <w:color w:val="000000"/>
          <w:kern w:val="0"/>
          <w:sz w:val="30"/>
          <w:szCs w:val="30"/>
        </w:rPr>
        <w:t>公共安全支出（类）司法（款）基层司法业务（项）。</w:t>
      </w:r>
      <w:r>
        <w:rPr>
          <w:rFonts w:hint="eastAsia" w:ascii="仿宋" w:hAnsi="仿宋" w:eastAsia="仿宋" w:cs="仿宋"/>
          <w:sz w:val="30"/>
          <w:szCs w:val="30"/>
        </w:rPr>
        <w:t>年初预算为 48.6 万元，支出决算为 20.42 万元，完成年初预算的     42.0%。决算数小于预算数的主要原因是在2017年决算中增加了普法宣传，法援和社区矫正业务。把基层司法业务分散开。</w:t>
      </w:r>
    </w:p>
    <w:p>
      <w:pPr>
        <w:widowControl/>
        <w:spacing w:line="360" w:lineRule="auto"/>
        <w:ind w:firstLine="602" w:firstLineChars="200"/>
        <w:jc w:val="left"/>
        <w:rPr>
          <w:rFonts w:ascii="仿宋" w:hAnsi="仿宋" w:eastAsia="仿宋" w:cs="仿宋_GB2312"/>
          <w:b/>
          <w:color w:val="000000"/>
          <w:kern w:val="0"/>
          <w:sz w:val="30"/>
          <w:szCs w:val="30"/>
        </w:rPr>
      </w:pPr>
      <w:r>
        <w:rPr>
          <w:rFonts w:hint="eastAsia" w:ascii="仿宋" w:hAnsi="仿宋" w:eastAsia="仿宋" w:cs="仿宋_GB2312"/>
          <w:b/>
          <w:color w:val="000000"/>
          <w:kern w:val="0"/>
          <w:sz w:val="30"/>
          <w:szCs w:val="30"/>
        </w:rPr>
        <w:t>3、公共安全支出（类）司法（款）普法宣传（项）。年初预算为0万元，支出决算为15万元，当年财政追加。</w:t>
      </w:r>
    </w:p>
    <w:p>
      <w:pPr>
        <w:widowControl/>
        <w:spacing w:line="360" w:lineRule="auto"/>
        <w:ind w:firstLine="602" w:firstLineChars="200"/>
        <w:jc w:val="left"/>
        <w:rPr>
          <w:rFonts w:ascii="仿宋" w:hAnsi="仿宋" w:eastAsia="仿宋" w:cs="仿宋_GB2312"/>
          <w:color w:val="000000"/>
          <w:kern w:val="0"/>
          <w:sz w:val="30"/>
          <w:szCs w:val="30"/>
        </w:rPr>
      </w:pPr>
      <w:r>
        <w:rPr>
          <w:rFonts w:hint="eastAsia" w:ascii="仿宋" w:hAnsi="仿宋" w:eastAsia="仿宋" w:cs="仿宋_GB2312"/>
          <w:b/>
          <w:color w:val="000000"/>
          <w:kern w:val="0"/>
          <w:sz w:val="30"/>
          <w:szCs w:val="30"/>
        </w:rPr>
        <w:t>4、公共安全支出（类）司法（款）法律援助（项）。年初</w:t>
      </w:r>
      <w:r>
        <w:rPr>
          <w:rFonts w:hint="eastAsia" w:ascii="仿宋" w:hAnsi="仿宋" w:eastAsia="仿宋" w:cs="仿宋_GB2312"/>
          <w:color w:val="000000"/>
          <w:kern w:val="0"/>
          <w:sz w:val="30"/>
          <w:szCs w:val="30"/>
        </w:rPr>
        <w:t>预算数为</w:t>
      </w:r>
      <w:r>
        <w:rPr>
          <w:rFonts w:hint="eastAsia" w:ascii="仿宋" w:hAnsi="仿宋" w:eastAsia="仿宋" w:cs="Verdana"/>
          <w:color w:val="000000"/>
          <w:kern w:val="0"/>
          <w:sz w:val="30"/>
          <w:szCs w:val="30"/>
        </w:rPr>
        <w:t>0</w:t>
      </w:r>
      <w:r>
        <w:rPr>
          <w:rFonts w:hint="eastAsia" w:ascii="仿宋" w:hAnsi="仿宋" w:eastAsia="仿宋" w:cs="仿宋_GB2312"/>
          <w:color w:val="000000"/>
          <w:kern w:val="0"/>
          <w:sz w:val="30"/>
          <w:szCs w:val="30"/>
        </w:rPr>
        <w:t>万元，支出决算数为3.8万元，政法转移支付专项。</w:t>
      </w:r>
    </w:p>
    <w:p>
      <w:pPr>
        <w:widowControl/>
        <w:spacing w:line="360" w:lineRule="auto"/>
        <w:ind w:firstLine="602" w:firstLineChars="200"/>
        <w:jc w:val="left"/>
        <w:rPr>
          <w:rFonts w:ascii="仿宋" w:hAnsi="仿宋" w:eastAsia="仿宋" w:cs="仿宋_GB2312"/>
          <w:color w:val="000000"/>
          <w:kern w:val="0"/>
          <w:sz w:val="30"/>
          <w:szCs w:val="30"/>
        </w:rPr>
      </w:pPr>
      <w:r>
        <w:rPr>
          <w:rFonts w:hint="eastAsia" w:ascii="仿宋" w:hAnsi="仿宋" w:eastAsia="仿宋" w:cs="仿宋_GB2312"/>
          <w:b/>
          <w:color w:val="000000"/>
          <w:kern w:val="0"/>
          <w:sz w:val="30"/>
          <w:szCs w:val="30"/>
        </w:rPr>
        <w:t>5、公共安全支出（类）司法（款）社区矫正（项）。年初</w:t>
      </w:r>
      <w:r>
        <w:rPr>
          <w:rFonts w:hint="eastAsia" w:ascii="仿宋" w:hAnsi="仿宋" w:eastAsia="仿宋" w:cs="仿宋_GB2312"/>
          <w:color w:val="000000"/>
          <w:kern w:val="0"/>
          <w:sz w:val="30"/>
          <w:szCs w:val="30"/>
        </w:rPr>
        <w:t>预算数为0万元，支出决算数为17.46万元，当年财政追加。</w:t>
      </w:r>
    </w:p>
    <w:p>
      <w:pPr>
        <w:widowControl/>
        <w:spacing w:line="315" w:lineRule="atLeast"/>
        <w:ind w:firstLine="452" w:firstLineChars="150"/>
        <w:rPr>
          <w:rFonts w:ascii="仿宋" w:hAnsi="仿宋" w:eastAsia="仿宋" w:cs="仿宋_GB2312"/>
          <w:color w:val="000000"/>
          <w:kern w:val="0"/>
          <w:sz w:val="30"/>
          <w:szCs w:val="30"/>
        </w:rPr>
      </w:pPr>
      <w:r>
        <w:rPr>
          <w:rFonts w:hint="eastAsia" w:ascii="仿宋" w:hAnsi="仿宋" w:eastAsia="仿宋" w:cs="仿宋_GB2312"/>
          <w:b/>
          <w:color w:val="000000"/>
          <w:kern w:val="0"/>
          <w:sz w:val="30"/>
          <w:szCs w:val="30"/>
        </w:rPr>
        <w:t>6、公共安全支出（类）司法（款）其他司法支出（项）</w:t>
      </w:r>
      <w:r>
        <w:rPr>
          <w:rFonts w:hint="eastAsia" w:ascii="仿宋" w:hAnsi="仿宋" w:eastAsia="仿宋" w:cs="仿宋_GB2312"/>
          <w:color w:val="000000"/>
          <w:kern w:val="0"/>
          <w:sz w:val="30"/>
          <w:szCs w:val="30"/>
        </w:rPr>
        <w:t>预算数为0万元，支出决算数为14.83万元，政法转移支付专项。</w:t>
      </w:r>
    </w:p>
    <w:p>
      <w:pPr>
        <w:widowControl/>
        <w:spacing w:line="315" w:lineRule="atLeast"/>
        <w:ind w:firstLine="640"/>
        <w:rPr>
          <w:rFonts w:ascii="仿宋" w:hAnsi="仿宋" w:eastAsia="仿宋" w:cs="仿宋"/>
          <w:sz w:val="30"/>
          <w:szCs w:val="30"/>
        </w:rPr>
      </w:pPr>
      <w:r>
        <w:rPr>
          <w:rFonts w:hint="eastAsia" w:ascii="仿宋" w:hAnsi="仿宋" w:eastAsia="仿宋" w:cs="仿宋_GB2312"/>
          <w:b/>
          <w:color w:val="000000"/>
          <w:kern w:val="0"/>
          <w:sz w:val="30"/>
          <w:szCs w:val="30"/>
        </w:rPr>
        <w:t>7、社会保障和就业支出（类）行政事业单位离退休（款）归口管理的行政事业单位离退休（项）</w:t>
      </w:r>
      <w:r>
        <w:rPr>
          <w:rFonts w:hint="eastAsia" w:ascii="仿宋" w:hAnsi="仿宋" w:eastAsia="仿宋" w:cs="仿宋"/>
          <w:sz w:val="30"/>
          <w:szCs w:val="30"/>
        </w:rPr>
        <w:t>年初预算为54.77万元，支出决算为 67.83 万元，完成年初预算的 123.8%。决算数大于预算数的主要原因是在2017年增加了离退休人员工资。</w:t>
      </w:r>
    </w:p>
    <w:p>
      <w:pPr>
        <w:widowControl/>
        <w:spacing w:line="315" w:lineRule="atLeast"/>
        <w:ind w:firstLine="640"/>
        <w:rPr>
          <w:rFonts w:ascii="仿宋" w:hAnsi="仿宋" w:eastAsia="仿宋" w:cs="仿宋"/>
          <w:sz w:val="30"/>
          <w:szCs w:val="30"/>
        </w:rPr>
      </w:pPr>
      <w:r>
        <w:rPr>
          <w:rFonts w:hint="eastAsia" w:ascii="仿宋" w:hAnsi="仿宋" w:eastAsia="仿宋" w:cs="仿宋_GB2312"/>
          <w:b/>
          <w:color w:val="000000"/>
          <w:kern w:val="0"/>
          <w:sz w:val="30"/>
          <w:szCs w:val="30"/>
        </w:rPr>
        <w:t>8、住房保障（类）住房改革支出（款）住房公积金（项）</w:t>
      </w:r>
      <w:r>
        <w:rPr>
          <w:rFonts w:hint="eastAsia" w:ascii="仿宋" w:hAnsi="仿宋" w:eastAsia="仿宋" w:cs="仿宋"/>
          <w:sz w:val="30"/>
          <w:szCs w:val="30"/>
        </w:rPr>
        <w:t>年初预算为6.65万元，支出决算为 11.92万元，完成年初预算的 179.2%。决算数大于预算数的主要原因是在2017年</w:t>
      </w:r>
      <w:r>
        <w:rPr>
          <w:rFonts w:hint="eastAsia" w:ascii="仿宋" w:hAnsi="仿宋" w:eastAsia="仿宋" w:cs="仿宋_GB2312"/>
          <w:color w:val="000000"/>
          <w:kern w:val="0"/>
          <w:sz w:val="30"/>
          <w:szCs w:val="30"/>
        </w:rPr>
        <w:t>全县住房公积金基数增加。</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2017年度一般公共预算财政拨款基本支出340.52 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  276.54  万元，主要包括：基本工资、津贴补贴、奖金、其他工资福利支出、离休费、退休费、奖励金、住房公积金、采暖补贴、其他对个人和家庭的补助支出；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  63.98 万元，主要包括：办公费、印刷费、邮电费、差旅费、维修(护)费、培训费、专用材料费、租赁费、劳务费、公务用车运行维护费。</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   2017年度“三公”经费财政拨款支出预算为 </w:t>
      </w:r>
      <w:r>
        <w:rPr>
          <w:rFonts w:hint="eastAsia" w:ascii="仿宋" w:hAnsi="仿宋" w:eastAsia="仿宋" w:cs="仿宋"/>
          <w:sz w:val="30"/>
          <w:szCs w:val="30"/>
          <w:lang w:val="en-US" w:eastAsia="zh-CN"/>
        </w:rPr>
        <w:t>4.12</w:t>
      </w:r>
      <w:r>
        <w:rPr>
          <w:rFonts w:hint="eastAsia" w:ascii="仿宋" w:hAnsi="仿宋" w:eastAsia="仿宋" w:cs="仿宋"/>
          <w:sz w:val="30"/>
          <w:szCs w:val="30"/>
        </w:rPr>
        <w:t>万元，支出决算为 4.12万元，完成预算的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 %，2017年度“三公”经费支出决算数</w:t>
      </w:r>
      <w:r>
        <w:rPr>
          <w:rFonts w:hint="eastAsia" w:ascii="仿宋" w:hAnsi="仿宋" w:eastAsia="仿宋" w:cs="仿宋"/>
          <w:sz w:val="30"/>
          <w:szCs w:val="30"/>
          <w:lang w:eastAsia="zh-CN"/>
        </w:rPr>
        <w:t>等</w:t>
      </w:r>
      <w:r>
        <w:rPr>
          <w:rFonts w:hint="eastAsia" w:ascii="仿宋" w:hAnsi="仿宋" w:eastAsia="仿宋" w:cs="仿宋"/>
          <w:sz w:val="30"/>
          <w:szCs w:val="30"/>
        </w:rPr>
        <w:t>于预算数的主要原因：</w:t>
      </w:r>
      <w:r>
        <w:rPr>
          <w:rFonts w:hint="eastAsia" w:ascii="仿宋" w:hAnsi="仿宋" w:eastAsia="仿宋" w:cs="仿宋"/>
          <w:sz w:val="30"/>
          <w:szCs w:val="30"/>
          <w:lang w:eastAsia="zh-CN"/>
        </w:rPr>
        <w:t>严格按照预算标准</w:t>
      </w:r>
      <w:r>
        <w:rPr>
          <w:rFonts w:hint="eastAsia" w:ascii="仿宋" w:hAnsi="仿宋" w:eastAsia="仿宋" w:cs="仿宋"/>
          <w:sz w:val="30"/>
          <w:szCs w:val="30"/>
        </w:rPr>
        <w:t>。</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其中：因公出国（境）费支出决算为 0万元，完成预算的 0%，因公出国（境）费支出决算数小于预算数的主要原因：无；公务用车购置及运行费支出决算为4.12 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 %，公务用车购置及运行费支出决算数</w:t>
      </w:r>
      <w:r>
        <w:rPr>
          <w:rFonts w:hint="eastAsia" w:ascii="仿宋" w:hAnsi="仿宋" w:eastAsia="仿宋" w:cs="仿宋"/>
          <w:sz w:val="30"/>
          <w:szCs w:val="30"/>
          <w:lang w:eastAsia="zh-CN"/>
        </w:rPr>
        <w:t>等</w:t>
      </w:r>
      <w:r>
        <w:rPr>
          <w:rFonts w:hint="eastAsia" w:ascii="仿宋" w:hAnsi="仿宋" w:eastAsia="仿宋" w:cs="仿宋"/>
          <w:sz w:val="30"/>
          <w:szCs w:val="30"/>
        </w:rPr>
        <w:t>于预算数的主要原因：</w:t>
      </w:r>
      <w:r>
        <w:rPr>
          <w:rFonts w:hint="eastAsia" w:ascii="仿宋" w:hAnsi="仿宋" w:eastAsia="仿宋" w:cs="仿宋"/>
          <w:sz w:val="30"/>
          <w:szCs w:val="30"/>
          <w:lang w:eastAsia="zh-CN"/>
        </w:rPr>
        <w:t>严格按照预算标准</w:t>
      </w:r>
      <w:r>
        <w:rPr>
          <w:rFonts w:hint="eastAsia" w:ascii="仿宋" w:hAnsi="仿宋" w:eastAsia="仿宋" w:cs="仿宋"/>
          <w:sz w:val="30"/>
          <w:szCs w:val="30"/>
        </w:rPr>
        <w:t>；公务接待费支出决算为 0 万元，完成预算的 0 %，公务接待费支出决算数小于预算数的主要原因： 无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2017年度“三公”经费财政拨款支出决算数比2016年减少1.82    万元，下降30.6 %，其中：公务用车购置及运行费支出决算减少1.82        万元，下降30.6 %，原因为：加强了车辆日常管理，油耗维修费用降低。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2017年度“三公”经费财政拨款支出决算中，因公出国（境）费支出决算0万元，占0%；公务用车购置及运行费支出决算  4.12 万元，占 100%；公务接待费支出决算 0 万元，占0 %。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2.公务用车购置及运行费支出4.12万元。其中：公务用车购置费支出为  0 万元，公务用车购置数 0   台；公务用车运行维护费 4.12  万元，公务用车保有量 12 台。</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3.公务接待费支出 0 万元。其中：国内公务接待费0  万元，国内公务接待批次 0个，国内公务接待人次 0  人；国（境）外公务接待费  0万元，国（境）外公务接待批次 0 个，国（境）外公务接待人次0  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本年度没有政府性基金收入，也没有使用政府性基金安排的支出。与上年一致。</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九、预算绩效管理工作开展情况说明。</w:t>
      </w:r>
    </w:p>
    <w:p>
      <w:pPr>
        <w:widowControl/>
        <w:spacing w:line="360" w:lineRule="auto"/>
        <w:ind w:firstLine="600"/>
        <w:jc w:val="left"/>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2"/>
          <w:szCs w:val="32"/>
        </w:rPr>
        <w:t>、</w:t>
      </w:r>
      <w:r>
        <w:rPr>
          <w:rFonts w:hint="eastAsia" w:ascii="仿宋" w:hAnsi="仿宋" w:eastAsia="仿宋" w:cs="仿宋"/>
          <w:sz w:val="30"/>
          <w:szCs w:val="30"/>
        </w:rPr>
        <w:t>根据</w:t>
      </w:r>
      <w:r>
        <w:rPr>
          <w:rFonts w:hint="eastAsia" w:ascii="仿宋" w:hAnsi="仿宋" w:eastAsia="仿宋" w:cs="仿宋"/>
          <w:sz w:val="30"/>
          <w:szCs w:val="30"/>
          <w:lang w:val="en-US" w:eastAsia="zh-CN"/>
        </w:rPr>
        <w:t>县财政局</w:t>
      </w:r>
      <w:r>
        <w:rPr>
          <w:rFonts w:hint="eastAsia" w:ascii="仿宋" w:hAnsi="仿宋" w:eastAsia="仿宋" w:cs="仿宋"/>
          <w:sz w:val="30"/>
          <w:szCs w:val="30"/>
        </w:rPr>
        <w:t>预算绩效管理要求，</w:t>
      </w:r>
      <w:r>
        <w:rPr>
          <w:rFonts w:hint="eastAsia" w:ascii="仿宋" w:hAnsi="仿宋" w:eastAsia="仿宋" w:cs="仿宋"/>
          <w:sz w:val="30"/>
          <w:szCs w:val="30"/>
          <w:lang w:val="en-US" w:eastAsia="zh-CN"/>
        </w:rPr>
        <w:t>我局</w:t>
      </w:r>
      <w:r>
        <w:rPr>
          <w:rFonts w:hint="eastAsia" w:ascii="仿宋" w:hAnsi="仿宋" w:eastAsia="仿宋" w:cs="仿宋"/>
          <w:sz w:val="30"/>
          <w:szCs w:val="30"/>
        </w:rPr>
        <w:t xml:space="preserve">对2017年度部门预算项目和省级专项支出开展了绩效自评价工作，其中，自评价项目  1 个，涉及一般公共预算支出  </w:t>
      </w:r>
      <w:r>
        <w:rPr>
          <w:rFonts w:hint="eastAsia" w:ascii="仿宋" w:hAnsi="仿宋" w:eastAsia="仿宋" w:cs="仿宋"/>
          <w:sz w:val="30"/>
          <w:szCs w:val="30"/>
          <w:lang w:val="en-US" w:eastAsia="zh-CN"/>
        </w:rPr>
        <w:t>58</w:t>
      </w:r>
      <w:r>
        <w:rPr>
          <w:rFonts w:hint="eastAsia" w:ascii="仿宋" w:hAnsi="仿宋" w:eastAsia="仿宋" w:cs="仿宋"/>
          <w:sz w:val="30"/>
          <w:szCs w:val="30"/>
        </w:rPr>
        <w:t>万元，占</w:t>
      </w:r>
      <w:r>
        <w:rPr>
          <w:rFonts w:hint="eastAsia" w:ascii="仿宋_GB2312" w:hAnsi="微软雅黑" w:eastAsia="仿宋_GB2312" w:cs="仿宋_GB2312"/>
          <w:sz w:val="30"/>
          <w:szCs w:val="30"/>
          <w:shd w:val="clear" w:color="auto" w:fill="FFFFFF"/>
          <w:lang w:val="en-US" w:eastAsia="zh-CN"/>
        </w:rPr>
        <w:t>部门</w:t>
      </w:r>
      <w:r>
        <w:rPr>
          <w:rFonts w:ascii="仿宋_GB2312" w:hAnsi="微软雅黑" w:eastAsia="仿宋_GB2312" w:cs="仿宋_GB2312"/>
          <w:sz w:val="30"/>
          <w:szCs w:val="30"/>
          <w:shd w:val="clear" w:color="auto" w:fill="FFFFFF"/>
        </w:rPr>
        <w:t>预算项目支出总额</w:t>
      </w:r>
      <w:r>
        <w:rPr>
          <w:rFonts w:hint="eastAsia" w:ascii="仿宋" w:hAnsi="仿宋" w:eastAsia="仿宋" w:cs="仿宋"/>
          <w:sz w:val="30"/>
          <w:szCs w:val="30"/>
        </w:rPr>
        <w:t xml:space="preserve">的  </w:t>
      </w:r>
      <w:r>
        <w:rPr>
          <w:rFonts w:hint="eastAsia" w:ascii="仿宋" w:hAnsi="仿宋" w:eastAsia="仿宋" w:cs="仿宋"/>
          <w:sz w:val="30"/>
          <w:szCs w:val="30"/>
          <w:lang w:val="en-US" w:eastAsia="zh-CN"/>
        </w:rPr>
        <w:t>67.3</w:t>
      </w:r>
      <w:r>
        <w:rPr>
          <w:rFonts w:hint="eastAsia" w:ascii="仿宋" w:hAnsi="仿宋" w:eastAsia="仿宋" w:cs="仿宋"/>
          <w:sz w:val="30"/>
          <w:szCs w:val="30"/>
        </w:rPr>
        <w:t xml:space="preserve"> %。</w:t>
      </w:r>
    </w:p>
    <w:p>
      <w:pPr>
        <w:widowControl/>
        <w:spacing w:line="360" w:lineRule="auto"/>
        <w:ind w:firstLine="600"/>
        <w:jc w:val="left"/>
        <w:rPr>
          <w:rFonts w:hint="eastAsia" w:ascii="仿宋" w:hAnsi="仿宋" w:eastAsia="仿宋" w:cs="仿宋"/>
          <w:sz w:val="30"/>
          <w:szCs w:val="30"/>
        </w:rPr>
      </w:pPr>
    </w:p>
    <w:p>
      <w:pPr>
        <w:ind w:firstLine="600" w:firstLineChars="200"/>
        <w:jc w:val="left"/>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b/>
          <w:bCs/>
          <w:sz w:val="32"/>
          <w:szCs w:val="32"/>
        </w:rPr>
        <w:t>、</w:t>
      </w:r>
      <w:r>
        <w:rPr>
          <w:rFonts w:hint="eastAsia" w:ascii="仿宋" w:hAnsi="仿宋" w:eastAsia="仿宋" w:cs="仿宋"/>
          <w:sz w:val="30"/>
          <w:szCs w:val="30"/>
        </w:rPr>
        <w:t>绩效自评价结果</w:t>
      </w:r>
    </w:p>
    <w:p>
      <w:pPr>
        <w:ind w:firstLine="600" w:firstLineChars="200"/>
        <w:jc w:val="left"/>
        <w:rPr>
          <w:rFonts w:hint="eastAsia" w:ascii="宋体" w:hAnsi="宋体" w:eastAsia="仿宋" w:cs="宋体"/>
          <w:kern w:val="0"/>
          <w:sz w:val="32"/>
          <w:szCs w:val="32"/>
          <w:lang w:eastAsia="zh-CN"/>
        </w:rPr>
      </w:pPr>
      <w:r>
        <w:rPr>
          <w:rFonts w:hint="eastAsia" w:ascii="仿宋" w:hAnsi="仿宋" w:eastAsia="仿宋" w:cs="仿宋"/>
          <w:sz w:val="30"/>
          <w:szCs w:val="30"/>
          <w:lang w:val="en-US" w:eastAsia="zh-CN"/>
        </w:rPr>
        <w:t>我局</w:t>
      </w:r>
      <w:r>
        <w:rPr>
          <w:rFonts w:hint="eastAsia" w:ascii="仿宋" w:hAnsi="仿宋" w:eastAsia="仿宋" w:cs="仿宋"/>
          <w:sz w:val="30"/>
          <w:szCs w:val="30"/>
        </w:rPr>
        <w:t xml:space="preserve">自评价项目 1 个，项目全年预算数合计  </w:t>
      </w:r>
      <w:r>
        <w:rPr>
          <w:rFonts w:hint="eastAsia" w:ascii="仿宋" w:hAnsi="仿宋" w:eastAsia="仿宋" w:cs="仿宋"/>
          <w:sz w:val="30"/>
          <w:szCs w:val="30"/>
          <w:lang w:val="en-US" w:eastAsia="zh-CN"/>
        </w:rPr>
        <w:t>58</w:t>
      </w:r>
      <w:r>
        <w:rPr>
          <w:rFonts w:hint="eastAsia" w:ascii="仿宋" w:hAnsi="仿宋" w:eastAsia="仿宋" w:cs="仿宋"/>
          <w:sz w:val="30"/>
          <w:szCs w:val="30"/>
        </w:rPr>
        <w:t xml:space="preserve">万元。执行数合计 </w:t>
      </w:r>
      <w:r>
        <w:rPr>
          <w:rFonts w:hint="eastAsia" w:ascii="仿宋" w:hAnsi="仿宋" w:eastAsia="仿宋" w:cs="仿宋"/>
          <w:sz w:val="30"/>
          <w:szCs w:val="30"/>
          <w:lang w:val="en-US" w:eastAsia="zh-CN"/>
        </w:rPr>
        <w:t>39.06</w:t>
      </w:r>
      <w:r>
        <w:rPr>
          <w:rFonts w:hint="eastAsia" w:ascii="仿宋" w:hAnsi="仿宋" w:eastAsia="仿宋" w:cs="仿宋"/>
          <w:sz w:val="30"/>
          <w:szCs w:val="30"/>
        </w:rPr>
        <w:t xml:space="preserve"> 万元，完成预算的  </w:t>
      </w:r>
      <w:r>
        <w:rPr>
          <w:rFonts w:hint="eastAsia" w:ascii="仿宋" w:hAnsi="仿宋" w:eastAsia="仿宋" w:cs="仿宋"/>
          <w:sz w:val="30"/>
          <w:szCs w:val="30"/>
          <w:lang w:val="en-US" w:eastAsia="zh-CN"/>
        </w:rPr>
        <w:t>67.3</w:t>
      </w:r>
      <w:r>
        <w:rPr>
          <w:rFonts w:hint="eastAsia" w:ascii="仿宋" w:hAnsi="仿宋" w:eastAsia="仿宋" w:cs="仿宋"/>
          <w:sz w:val="30"/>
          <w:szCs w:val="30"/>
        </w:rPr>
        <w:t xml:space="preserve"> %，绩效自评价平均得分 8</w:t>
      </w:r>
      <w:r>
        <w:rPr>
          <w:rFonts w:hint="eastAsia" w:ascii="仿宋" w:hAnsi="仿宋" w:eastAsia="仿宋" w:cs="仿宋"/>
          <w:sz w:val="30"/>
          <w:szCs w:val="30"/>
          <w:lang w:val="en-US" w:eastAsia="zh-CN"/>
        </w:rPr>
        <w:t>5</w:t>
      </w:r>
      <w:r>
        <w:rPr>
          <w:rFonts w:hint="eastAsia" w:ascii="仿宋" w:hAnsi="仿宋" w:eastAsia="仿宋" w:cs="仿宋"/>
          <w:sz w:val="30"/>
          <w:szCs w:val="30"/>
        </w:rPr>
        <w:t xml:space="preserve">分。主要产出和效果：一是保证社区矫正人员集中培训 ；二是 社区矫正人员实行手机定位管理 。发现的问题及原因：一是培训过程中缺乏信息化管理 ；二是社矫人员缺乏心理辅导 。下一步改进措施：一是  加强信息化管理 ；二是 聘用专业的心理咨询人员对社矫人员进行辅导  </w:t>
      </w:r>
      <w:r>
        <w:rPr>
          <w:rFonts w:hint="eastAsia" w:ascii="仿宋" w:hAnsi="仿宋" w:eastAsia="仿宋" w:cs="仿宋"/>
          <w:sz w:val="30"/>
          <w:szCs w:val="30"/>
          <w:lang w:eastAsia="zh-CN"/>
        </w:rPr>
        <w:t>。</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（一）机关运行经费支出情况</w:t>
      </w:r>
    </w:p>
    <w:p>
      <w:pPr>
        <w:widowControl/>
        <w:spacing w:line="360" w:lineRule="auto"/>
        <w:ind w:firstLine="600"/>
        <w:jc w:val="left"/>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2017年度机关运行经费支出 63.98 万元，较2016年增加26.28万元，同比增长 69.7 % 。主要原因是：社区矫正业务增加。</w:t>
      </w:r>
    </w:p>
    <w:p>
      <w:pPr>
        <w:widowControl/>
        <w:spacing w:line="360" w:lineRule="auto"/>
        <w:ind w:firstLine="301" w:firstLineChars="100"/>
        <w:jc w:val="left"/>
        <w:rPr>
          <w:rFonts w:ascii="仿宋" w:hAnsi="仿宋" w:eastAsia="仿宋" w:cs="仿宋"/>
          <w:color w:val="000000" w:themeColor="text1"/>
          <w:sz w:val="30"/>
          <w:szCs w:val="30"/>
        </w:rPr>
      </w:pPr>
      <w:r>
        <w:rPr>
          <w:rFonts w:hint="eastAsia" w:ascii="仿宋" w:hAnsi="仿宋" w:eastAsia="仿宋" w:cs="仿宋"/>
          <w:b/>
          <w:bCs/>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 xml:space="preserve">   2017年度，政府采购支出总额 22.57 万元，其中：政府采购货物支出 10.84 万元、政府采购工程支出  6.73万元、政府采购服务支出   5 万元。授予中小企业合同金额0万元，占政府采购支出总额的0%，其中：授予小微企业合同金额0万元，占政府采购支出总额的0%。</w:t>
      </w:r>
    </w:p>
    <w:p>
      <w:pPr>
        <w:widowControl/>
        <w:spacing w:line="360" w:lineRule="auto"/>
        <w:ind w:firstLine="151" w:firstLineChars="50"/>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 xml:space="preserve">    截至2017年12月31日，共有车辆 12辆，其中，部级领导干部用车  0辆、一般公务用车 0 辆、一般执法执勤用车12 辆、特种专业技术用车  0 辆、其他用车 0 辆， 单位价值50万元以上通用设备  0 台（套），单位价值在100万以上的专用设备  0 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0"/>
          <w:szCs w:val="30"/>
        </w:rPr>
      </w:pPr>
      <w:r>
        <w:rPr>
          <w:rFonts w:hint="eastAsia" w:ascii="仿宋" w:hAnsi="仿宋" w:eastAsia="仿宋" w:cs="仿宋"/>
          <w:sz w:val="30"/>
          <w:szCs w:val="30"/>
        </w:rPr>
        <w:t xml:space="preserve">根据《2017年政府收支分类科目》对2017年度部门决算公开中相关名词解释如下：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spacing w:line="360" w:lineRule="auto"/>
        <w:ind w:firstLine="660"/>
        <w:rPr>
          <w:rFonts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政府采购：</w:t>
      </w:r>
      <w:r>
        <w:rPr>
          <w:rFonts w:hint="eastAsia" w:ascii="仿宋" w:hAnsi="仿宋" w:eastAsia="仿宋" w:cs="仿宋"/>
          <w:sz w:val="30"/>
          <w:szCs w:val="30"/>
          <w:shd w:val="clear" w:color="auto" w:fill="FFFFFF"/>
        </w:rPr>
        <w:t>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Style w:val="8"/>
          <w:rFonts w:hint="eastAsia" w:ascii="仿宋" w:hAnsi="仿宋" w:eastAsia="仿宋" w:cs="仿宋"/>
          <w:sz w:val="30"/>
          <w:szCs w:val="30"/>
          <w:shd w:val="clear" w:color="auto" w:fill="FFFFFF"/>
        </w:rPr>
        <w:t>财政性资金</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和政府借款购买货物、工程和服务的行为。政府采购不仅是指具体的</w:t>
      </w:r>
      <w:r>
        <w:fldChar w:fldCharType="begin"/>
      </w:r>
      <w:r>
        <w:instrText xml:space="preserve"> HYPERLINK "http://baike.so.com/doc/4796448-5012566.html" \t "_blank" </w:instrText>
      </w:r>
      <w:r>
        <w:fldChar w:fldCharType="separate"/>
      </w:r>
      <w:r>
        <w:rPr>
          <w:rStyle w:val="8"/>
          <w:rFonts w:hint="eastAsia" w:ascii="仿宋" w:hAnsi="仿宋" w:eastAsia="仿宋" w:cs="仿宋"/>
          <w:sz w:val="30"/>
          <w:szCs w:val="30"/>
          <w:shd w:val="clear" w:color="auto" w:fill="FFFFFF"/>
        </w:rPr>
        <w:t>采购过程</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国有资产：</w:t>
      </w:r>
      <w:r>
        <w:rPr>
          <w:rFonts w:hint="eastAsia" w:ascii="仿宋" w:hAnsi="仿宋" w:eastAsia="仿宋" w:cs="仿宋"/>
          <w:sz w:val="30"/>
          <w:szCs w:val="30"/>
          <w:shd w:val="clear" w:color="auto" w:fill="FFFFFF"/>
        </w:rPr>
        <w:t>国有资产是法律上确定为国家所有并能为国家提供经济和</w:t>
      </w:r>
      <w:r>
        <w:fldChar w:fldCharType="begin"/>
      </w:r>
      <w:r>
        <w:instrText xml:space="preserve"> HYPERLINK "http://baike.so.com/doc/741806-785246.html" \t "_blank" </w:instrText>
      </w:r>
      <w:r>
        <w:fldChar w:fldCharType="separate"/>
      </w:r>
      <w:r>
        <w:rPr>
          <w:rStyle w:val="8"/>
          <w:rFonts w:hint="eastAsia" w:ascii="仿宋" w:hAnsi="仿宋" w:eastAsia="仿宋" w:cs="仿宋"/>
          <w:sz w:val="30"/>
          <w:szCs w:val="30"/>
          <w:shd w:val="clear" w:color="auto" w:fill="FFFFFF"/>
        </w:rPr>
        <w:t>社会效益</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的各种</w:t>
      </w:r>
      <w:r>
        <w:fldChar w:fldCharType="begin"/>
      </w:r>
      <w:r>
        <w:instrText xml:space="preserve"> HYPERLINK "http://baike.so.com/doc/7798608-8072703.html" \t "_blank" </w:instrText>
      </w:r>
      <w:r>
        <w:fldChar w:fldCharType="separate"/>
      </w:r>
      <w:r>
        <w:rPr>
          <w:rStyle w:val="8"/>
          <w:rFonts w:hint="eastAsia" w:ascii="仿宋" w:hAnsi="仿宋" w:eastAsia="仿宋" w:cs="仿宋"/>
          <w:sz w:val="30"/>
          <w:szCs w:val="30"/>
          <w:shd w:val="clear" w:color="auto" w:fill="FFFFFF"/>
        </w:rPr>
        <w:t>经济资源</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的总和。就是属于国家所有的一切</w:t>
      </w:r>
      <w:r>
        <w:fldChar w:fldCharType="begin"/>
      </w:r>
      <w:r>
        <w:instrText xml:space="preserve"> HYPERLINK "http://baike.so.com/doc/5368106-5603892.html" \t "_blank" </w:instrText>
      </w:r>
      <w:r>
        <w:fldChar w:fldCharType="separate"/>
      </w:r>
      <w:r>
        <w:rPr>
          <w:rStyle w:val="8"/>
          <w:rFonts w:hint="eastAsia" w:ascii="仿宋" w:hAnsi="仿宋" w:eastAsia="仿宋" w:cs="仿宋"/>
          <w:sz w:val="30"/>
          <w:szCs w:val="30"/>
          <w:shd w:val="clear" w:color="auto" w:fill="FFFFFF"/>
        </w:rPr>
        <w:t>财产</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和财</w:t>
      </w:r>
      <w:r>
        <w:fldChar w:fldCharType="begin"/>
      </w:r>
      <w:r>
        <w:instrText xml:space="preserve"> HYPERLINK "http://baike.so.com/doc/5399886-5637441.html" \t "_blank" </w:instrText>
      </w:r>
      <w:r>
        <w:fldChar w:fldCharType="separate"/>
      </w:r>
      <w:r>
        <w:rPr>
          <w:rStyle w:val="8"/>
          <w:rFonts w:hint="eastAsia" w:ascii="仿宋" w:hAnsi="仿宋" w:eastAsia="仿宋" w:cs="仿宋"/>
          <w:sz w:val="30"/>
          <w:szCs w:val="30"/>
          <w:shd w:val="clear" w:color="auto" w:fill="FFFFFF"/>
        </w:rPr>
        <w:t>产权</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利的总称。</w:t>
      </w:r>
      <w:r>
        <w:rPr>
          <w:rStyle w:val="10"/>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spacing w:line="360" w:lineRule="auto"/>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附件：2017年度部门决算公开表格</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财政拨款收入支出决算总表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 xml:space="preserve">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 xml:space="preserve">               </w:t>
      </w: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- 10 -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47AE24"/>
    <w:multiLevelType w:val="singleLevel"/>
    <w:tmpl w:val="CD47AE24"/>
    <w:lvl w:ilvl="0" w:tentative="0">
      <w:start w:val="2"/>
      <w:numFmt w:val="chineseCounting"/>
      <w:suff w:val="space"/>
      <w:lvlText w:val="第%1部分"/>
      <w:lvlJc w:val="left"/>
      <w:rPr>
        <w:rFonts w:hint="eastAsia"/>
      </w:rPr>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0D781F"/>
    <w:rsid w:val="001C3199"/>
    <w:rsid w:val="002B30B9"/>
    <w:rsid w:val="003129F8"/>
    <w:rsid w:val="003C1BA6"/>
    <w:rsid w:val="003E34AE"/>
    <w:rsid w:val="00457271"/>
    <w:rsid w:val="004C2208"/>
    <w:rsid w:val="00680E9D"/>
    <w:rsid w:val="00695938"/>
    <w:rsid w:val="006A54CA"/>
    <w:rsid w:val="00775977"/>
    <w:rsid w:val="0077689A"/>
    <w:rsid w:val="008557E7"/>
    <w:rsid w:val="00977E05"/>
    <w:rsid w:val="009B0828"/>
    <w:rsid w:val="00B07332"/>
    <w:rsid w:val="00B211AD"/>
    <w:rsid w:val="00B57750"/>
    <w:rsid w:val="00C70018"/>
    <w:rsid w:val="00C80DC4"/>
    <w:rsid w:val="00D24376"/>
    <w:rsid w:val="00D511C6"/>
    <w:rsid w:val="00D97A76"/>
    <w:rsid w:val="00DE59A5"/>
    <w:rsid w:val="00EC1FD0"/>
    <w:rsid w:val="00F7214A"/>
    <w:rsid w:val="00FA763A"/>
    <w:rsid w:val="012430ED"/>
    <w:rsid w:val="014A5949"/>
    <w:rsid w:val="023F13DB"/>
    <w:rsid w:val="026066D5"/>
    <w:rsid w:val="02EC7C1C"/>
    <w:rsid w:val="032D5CC6"/>
    <w:rsid w:val="03456C94"/>
    <w:rsid w:val="036A7041"/>
    <w:rsid w:val="03CD392E"/>
    <w:rsid w:val="04DF25D8"/>
    <w:rsid w:val="065D3951"/>
    <w:rsid w:val="06EE4F18"/>
    <w:rsid w:val="075B29A0"/>
    <w:rsid w:val="075F1F7C"/>
    <w:rsid w:val="08F04202"/>
    <w:rsid w:val="090E785C"/>
    <w:rsid w:val="092248D9"/>
    <w:rsid w:val="093B0FC9"/>
    <w:rsid w:val="099C4029"/>
    <w:rsid w:val="09AD4741"/>
    <w:rsid w:val="09B50255"/>
    <w:rsid w:val="09E539AA"/>
    <w:rsid w:val="0A11221C"/>
    <w:rsid w:val="0A2976F1"/>
    <w:rsid w:val="0ABC48D5"/>
    <w:rsid w:val="0AD801E8"/>
    <w:rsid w:val="0AEE3EF3"/>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DD71951"/>
    <w:rsid w:val="1E3E4241"/>
    <w:rsid w:val="1E7E4DD1"/>
    <w:rsid w:val="1EE81910"/>
    <w:rsid w:val="1F096E9E"/>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1556BC"/>
    <w:rsid w:val="3C56526F"/>
    <w:rsid w:val="3CB6492A"/>
    <w:rsid w:val="3D0E0C91"/>
    <w:rsid w:val="3D4C6F00"/>
    <w:rsid w:val="3DC2625E"/>
    <w:rsid w:val="3E0C4CB4"/>
    <w:rsid w:val="3E890E84"/>
    <w:rsid w:val="3F1B0D68"/>
    <w:rsid w:val="3FCD5758"/>
    <w:rsid w:val="3FCF46D7"/>
    <w:rsid w:val="402E446A"/>
    <w:rsid w:val="4049017B"/>
    <w:rsid w:val="419732B8"/>
    <w:rsid w:val="42BD15F0"/>
    <w:rsid w:val="42C0261B"/>
    <w:rsid w:val="43342B06"/>
    <w:rsid w:val="43400DBF"/>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AA4996"/>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7F2ED7"/>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 w:val="7FE32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10">
    <w:name w:val="apple-converted-space"/>
    <w:basedOn w:val="5"/>
    <w:qFormat/>
    <w:uiPriority w:val="0"/>
  </w:style>
  <w:style w:type="character" w:customStyle="1" w:styleId="11">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14</Pages>
  <Words>1054</Words>
  <Characters>6012</Characters>
  <Lines>50</Lines>
  <Paragraphs>14</Paragraphs>
  <TotalTime>3</TotalTime>
  <ScaleCrop>false</ScaleCrop>
  <LinksUpToDate>false</LinksUpToDate>
  <CharactersWithSpaces>7052</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z2</cp:lastModifiedBy>
  <dcterms:modified xsi:type="dcterms:W3CDTF">2019-02-19T05:45:43Z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