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集贤县人民政府办公室</w:t>
      </w:r>
    </w:p>
    <w:p>
      <w:pPr>
        <w:spacing w:line="360" w:lineRule="auto"/>
        <w:jc w:val="center"/>
        <w:rPr>
          <w:rFonts w:ascii="仿宋" w:hAnsi="仿宋" w:eastAsia="仿宋" w:cs="仿宋"/>
          <w:b/>
          <w:bCs/>
          <w:sz w:val="52"/>
          <w:szCs w:val="52"/>
        </w:rPr>
      </w:pPr>
      <w:r>
        <w:rPr>
          <w:rFonts w:hint="eastAsia" w:ascii="仿宋" w:hAnsi="仿宋" w:eastAsia="仿宋" w:cs="仿宋"/>
          <w:b/>
          <w:bCs/>
          <w:sz w:val="44"/>
          <w:szCs w:val="44"/>
        </w:rPr>
        <w:t>2017年度部门决算信息及有关情况说明</w:t>
      </w:r>
    </w:p>
    <w:p>
      <w:pPr>
        <w:spacing w:line="360" w:lineRule="auto"/>
        <w:jc w:val="center"/>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目    录</w:t>
      </w:r>
    </w:p>
    <w:p>
      <w:pPr>
        <w:spacing w:line="360" w:lineRule="auto"/>
        <w:jc w:val="center"/>
        <w:rPr>
          <w:rFonts w:ascii="仿宋" w:hAnsi="仿宋" w:eastAsia="仿宋" w:cs="仿宋"/>
          <w:b/>
          <w:bCs/>
          <w:sz w:val="44"/>
          <w:szCs w:val="44"/>
        </w:rPr>
      </w:pPr>
    </w:p>
    <w:p>
      <w:pPr>
        <w:widowControl/>
        <w:spacing w:line="360" w:lineRule="auto"/>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widowControl/>
        <w:numPr>
          <w:ilvl w:val="0"/>
          <w:numId w:val="1"/>
        </w:numPr>
        <w:spacing w:line="360" w:lineRule="auto"/>
        <w:rPr>
          <w:rFonts w:ascii="仿宋" w:hAnsi="仿宋" w:eastAsia="仿宋" w:cs="仿宋"/>
          <w:sz w:val="32"/>
          <w:szCs w:val="32"/>
        </w:rPr>
      </w:pPr>
      <w:r>
        <w:rPr>
          <w:rFonts w:hint="eastAsia" w:ascii="仿宋" w:hAnsi="仿宋" w:eastAsia="仿宋" w:cs="仿宋"/>
          <w:sz w:val="32"/>
          <w:szCs w:val="32"/>
        </w:rPr>
        <w:t>部门职责</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机构设置</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人员构成</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部门决算编报范围</w:t>
      </w:r>
    </w:p>
    <w:p>
      <w:pPr>
        <w:widowControl/>
        <w:spacing w:line="360" w:lineRule="auto"/>
        <w:jc w:val="center"/>
        <w:rPr>
          <w:rFonts w:ascii="仿宋" w:hAnsi="仿宋" w:eastAsia="仿宋" w:cs="仿宋"/>
          <w:b/>
          <w:bCs/>
          <w:color w:val="000000"/>
          <w:kern w:val="0"/>
          <w:sz w:val="32"/>
          <w:szCs w:val="32"/>
        </w:rPr>
      </w:pPr>
    </w:p>
    <w:p>
      <w:pPr>
        <w:spacing w:line="360" w:lineRule="auto"/>
        <w:ind w:firstLine="964" w:firstLineChars="300"/>
        <w:rPr>
          <w:rFonts w:ascii="仿宋" w:hAnsi="仿宋" w:eastAsia="仿宋" w:cs="仿宋"/>
          <w:b/>
          <w:sz w:val="32"/>
          <w:szCs w:val="32"/>
        </w:rPr>
      </w:pPr>
      <w:r>
        <w:rPr>
          <w:rFonts w:hint="eastAsia" w:ascii="仿宋" w:hAnsi="仿宋" w:eastAsia="仿宋" w:cs="仿宋"/>
          <w:b/>
          <w:sz w:val="32"/>
          <w:szCs w:val="32"/>
        </w:rPr>
        <w:t xml:space="preserve">    第二部分 2017年部门预算执行总体情况说明</w:t>
      </w:r>
    </w:p>
    <w:p>
      <w:pPr>
        <w:pStyle w:val="13"/>
        <w:widowControl/>
        <w:numPr>
          <w:ilvl w:val="0"/>
          <w:numId w:val="2"/>
        </w:numPr>
        <w:spacing w:line="360" w:lineRule="auto"/>
        <w:ind w:firstLineChars="0"/>
        <w:jc w:val="left"/>
        <w:rPr>
          <w:rFonts w:ascii="仿宋" w:hAnsi="仿宋" w:eastAsia="仿宋" w:cs="仿宋"/>
          <w:sz w:val="32"/>
          <w:szCs w:val="32"/>
        </w:rPr>
      </w:pPr>
      <w:r>
        <w:rPr>
          <w:rFonts w:hint="eastAsia" w:ascii="仿宋" w:hAnsi="仿宋" w:eastAsia="仿宋" w:cs="仿宋"/>
          <w:sz w:val="32"/>
          <w:szCs w:val="32"/>
        </w:rPr>
        <w:t>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二、收入决算情况说明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三、支出决算情况说明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四、财政拨款收入支出决算总体情况说明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五、一般公共预算财政拨款支出决算情况说明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六、一般公共预算财政拨款基本支出情况说明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七、一般公共预算财政拨款“三公”经费支出决算情况说明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八、政府性基金预算财政拨款收入支出决算情况说明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九、预算绩效管理工作开展情况说明。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十、其他重要事项情况说明</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（一）机关运行经费支出情况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（二）政府采购支出情况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（三）国有资产占用情况</w:t>
      </w:r>
    </w:p>
    <w:p>
      <w:pPr>
        <w:widowControl/>
        <w:spacing w:line="360" w:lineRule="auto"/>
        <w:jc w:val="left"/>
        <w:rPr>
          <w:rFonts w:ascii="仿宋" w:hAnsi="仿宋" w:eastAsia="仿宋" w:cs="仿宋"/>
          <w:sz w:val="30"/>
          <w:szCs w:val="30"/>
        </w:rPr>
      </w:pPr>
    </w:p>
    <w:p>
      <w:pPr>
        <w:numPr>
          <w:ilvl w:val="0"/>
          <w:numId w:val="3"/>
        </w:numPr>
        <w:spacing w:line="360" w:lineRule="auto"/>
        <w:jc w:val="center"/>
        <w:rPr>
          <w:rFonts w:ascii="仿宋" w:hAnsi="仿宋" w:eastAsia="仿宋" w:cs="仿宋"/>
          <w:b/>
          <w:sz w:val="32"/>
          <w:szCs w:val="32"/>
        </w:rPr>
      </w:pPr>
      <w:r>
        <w:rPr>
          <w:rFonts w:hint="eastAsia" w:ascii="仿宋" w:hAnsi="仿宋" w:eastAsia="仿宋" w:cs="仿宋"/>
          <w:b/>
          <w:sz w:val="32"/>
          <w:szCs w:val="32"/>
        </w:rPr>
        <w:t>名词解释</w:t>
      </w:r>
    </w:p>
    <w:p>
      <w:pPr>
        <w:spacing w:line="360" w:lineRule="auto"/>
        <w:rPr>
          <w:rFonts w:ascii="仿宋" w:hAnsi="仿宋" w:eastAsia="仿宋" w:cs="仿宋"/>
          <w:b/>
          <w:sz w:val="32"/>
          <w:szCs w:val="32"/>
        </w:rPr>
      </w:pPr>
      <w:r>
        <w:rPr>
          <w:rFonts w:hint="eastAsia" w:ascii="仿宋" w:hAnsi="仿宋" w:eastAsia="仿宋" w:cs="仿宋"/>
          <w:b/>
          <w:sz w:val="32"/>
          <w:szCs w:val="32"/>
        </w:rPr>
        <w:t xml:space="preserve">         </w:t>
      </w:r>
    </w:p>
    <w:p>
      <w:pPr>
        <w:spacing w:line="360" w:lineRule="auto"/>
        <w:rPr>
          <w:rFonts w:ascii="仿宋" w:hAnsi="仿宋" w:eastAsia="仿宋" w:cs="仿宋"/>
          <w:b/>
          <w:sz w:val="32"/>
          <w:szCs w:val="32"/>
        </w:rPr>
      </w:pPr>
      <w:r>
        <w:rPr>
          <w:rFonts w:hint="eastAsia" w:ascii="仿宋" w:hAnsi="仿宋" w:eastAsia="仿宋" w:cs="仿宋"/>
          <w:b/>
          <w:sz w:val="32"/>
          <w:szCs w:val="32"/>
        </w:rPr>
        <w:t xml:space="preserve">           第四部分  2017年度部门决算公开表</w:t>
      </w:r>
    </w:p>
    <w:p>
      <w:pPr>
        <w:numPr>
          <w:ilvl w:val="0"/>
          <w:numId w:val="4"/>
        </w:numPr>
        <w:spacing w:line="360" w:lineRule="auto"/>
        <w:rPr>
          <w:rFonts w:ascii="仿宋" w:hAnsi="仿宋" w:eastAsia="仿宋" w:cs="仿宋"/>
          <w:sz w:val="32"/>
          <w:szCs w:val="32"/>
        </w:rPr>
      </w:pPr>
      <w:r>
        <w:rPr>
          <w:rFonts w:hint="eastAsia" w:ascii="仿宋" w:hAnsi="仿宋" w:eastAsia="仿宋" w:cs="仿宋"/>
          <w:sz w:val="32"/>
          <w:szCs w:val="32"/>
        </w:rPr>
        <w:t>收入支出决算总表</w:t>
      </w:r>
    </w:p>
    <w:p>
      <w:pPr>
        <w:numPr>
          <w:ilvl w:val="0"/>
          <w:numId w:val="4"/>
        </w:numPr>
        <w:spacing w:line="360" w:lineRule="auto"/>
        <w:rPr>
          <w:rFonts w:ascii="仿宋" w:hAnsi="仿宋" w:eastAsia="仿宋" w:cs="仿宋"/>
          <w:sz w:val="32"/>
          <w:szCs w:val="32"/>
        </w:rPr>
      </w:pPr>
      <w:r>
        <w:rPr>
          <w:rFonts w:hint="eastAsia" w:ascii="仿宋" w:hAnsi="仿宋" w:eastAsia="仿宋" w:cs="仿宋"/>
          <w:sz w:val="32"/>
          <w:szCs w:val="32"/>
        </w:rPr>
        <w:t>收入决算表</w:t>
      </w:r>
    </w:p>
    <w:p>
      <w:pPr>
        <w:numPr>
          <w:ilvl w:val="0"/>
          <w:numId w:val="4"/>
        </w:numPr>
        <w:spacing w:line="360" w:lineRule="auto"/>
        <w:rPr>
          <w:rFonts w:ascii="仿宋" w:hAnsi="仿宋" w:eastAsia="仿宋" w:cs="仿宋"/>
          <w:sz w:val="32"/>
          <w:szCs w:val="32"/>
        </w:rPr>
      </w:pPr>
      <w:r>
        <w:rPr>
          <w:rFonts w:hint="eastAsia" w:ascii="仿宋" w:hAnsi="仿宋" w:eastAsia="仿宋" w:cs="仿宋"/>
          <w:sz w:val="32"/>
          <w:szCs w:val="32"/>
        </w:rPr>
        <w:t>支出决算表</w:t>
      </w:r>
    </w:p>
    <w:p>
      <w:pPr>
        <w:numPr>
          <w:ilvl w:val="0"/>
          <w:numId w:val="4"/>
        </w:numPr>
        <w:spacing w:line="360" w:lineRule="auto"/>
        <w:rPr>
          <w:rFonts w:ascii="仿宋" w:hAnsi="仿宋" w:eastAsia="仿宋" w:cs="仿宋"/>
          <w:sz w:val="32"/>
          <w:szCs w:val="32"/>
        </w:rPr>
      </w:pPr>
      <w:r>
        <w:rPr>
          <w:rFonts w:hint="eastAsia" w:ascii="仿宋" w:hAnsi="仿宋" w:eastAsia="仿宋" w:cs="仿宋"/>
          <w:sz w:val="32"/>
          <w:szCs w:val="32"/>
        </w:rPr>
        <w:t>财政拨款收入支出决算总表</w:t>
      </w:r>
    </w:p>
    <w:p>
      <w:pPr>
        <w:numPr>
          <w:ilvl w:val="0"/>
          <w:numId w:val="4"/>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一般公共预算财政拨款支出决算表</w:t>
      </w:r>
    </w:p>
    <w:p>
      <w:pPr>
        <w:numPr>
          <w:ilvl w:val="0"/>
          <w:numId w:val="4"/>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一般公共预算财政拨款基本支出决算表</w:t>
      </w:r>
    </w:p>
    <w:p>
      <w:pPr>
        <w:numPr>
          <w:ilvl w:val="0"/>
          <w:numId w:val="4"/>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一般公共预算财政拨款“三公”经费支出决算表</w:t>
      </w:r>
    </w:p>
    <w:p>
      <w:pPr>
        <w:numPr>
          <w:ilvl w:val="0"/>
          <w:numId w:val="4"/>
        </w:numPr>
        <w:spacing w:line="360" w:lineRule="auto"/>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numPr>
          <w:numId w:val="0"/>
        </w:numPr>
        <w:spacing w:line="360" w:lineRule="auto"/>
        <w:ind w:leftChars="0"/>
        <w:rPr>
          <w:rFonts w:ascii="仿宋" w:hAnsi="仿宋" w:eastAsia="仿宋" w:cs="仿宋"/>
          <w:sz w:val="32"/>
          <w:szCs w:val="32"/>
        </w:rPr>
      </w:pPr>
      <w:bookmarkStart w:id="0" w:name="_GoBack"/>
      <w:bookmarkEnd w:id="0"/>
    </w:p>
    <w:p>
      <w:pPr>
        <w:spacing w:line="360" w:lineRule="auto"/>
        <w:rPr>
          <w:rFonts w:ascii="仿宋" w:hAnsi="仿宋" w:eastAsia="仿宋" w:cs="仿宋"/>
          <w:b/>
          <w:bCs/>
          <w:sz w:val="32"/>
          <w:szCs w:val="32"/>
        </w:rPr>
      </w:pPr>
      <w:r>
        <w:rPr>
          <w:rFonts w:hint="eastAsia" w:ascii="仿宋" w:hAnsi="仿宋" w:eastAsia="仿宋" w:cs="仿宋"/>
          <w:b/>
          <w:bCs/>
          <w:sz w:val="32"/>
          <w:szCs w:val="32"/>
        </w:rPr>
        <w:t xml:space="preserve">               第一部分  单位基本情况</w:t>
      </w:r>
    </w:p>
    <w:p>
      <w:pPr>
        <w:spacing w:line="360" w:lineRule="auto"/>
        <w:rPr>
          <w:rFonts w:ascii="仿宋" w:hAnsi="仿宋" w:eastAsia="仿宋" w:cs="仿宋"/>
          <w:b/>
          <w:bCs/>
          <w:sz w:val="32"/>
          <w:szCs w:val="32"/>
        </w:rPr>
      </w:pP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一、部门职责</w:t>
      </w:r>
    </w:p>
    <w:p>
      <w:pPr>
        <w:pStyle w:val="12"/>
        <w:widowControl w:val="0"/>
        <w:adjustRightInd w:val="0"/>
        <w:snapToGrid w:val="0"/>
        <w:spacing w:line="560" w:lineRule="exact"/>
        <w:ind w:firstLine="320" w:firstLineChars="100"/>
        <w:rPr>
          <w:rFonts w:ascii="仿宋" w:hAnsi="仿宋" w:eastAsia="仿宋"/>
          <w:sz w:val="32"/>
          <w:szCs w:val="32"/>
        </w:rPr>
      </w:pPr>
      <w:r>
        <w:rPr>
          <w:rFonts w:hint="eastAsia" w:ascii="仿宋" w:hAnsi="仿宋" w:eastAsia="仿宋"/>
          <w:sz w:val="32"/>
          <w:szCs w:val="32"/>
        </w:rPr>
        <w:t>（一）负责县政府会议的会务工作，协助县政府领导同志组织实施会议决定事项；负责县政府领导同志重要活动的组织工作；协助县政府领导同志组织起草或审核以县政府、县政府办公室名义印发的公文。</w:t>
      </w:r>
    </w:p>
    <w:p>
      <w:pPr>
        <w:pStyle w:val="12"/>
        <w:widowControl w:val="0"/>
        <w:adjustRightInd w:val="0"/>
        <w:snapToGrid w:val="0"/>
        <w:spacing w:line="560" w:lineRule="exact"/>
        <w:rPr>
          <w:rFonts w:ascii="仿宋" w:hAnsi="仿宋" w:eastAsia="仿宋"/>
          <w:sz w:val="32"/>
          <w:szCs w:val="32"/>
        </w:rPr>
      </w:pPr>
      <w:r>
        <w:rPr>
          <w:rFonts w:hint="eastAsia" w:ascii="仿宋" w:hAnsi="仿宋" w:eastAsia="仿宋"/>
          <w:sz w:val="32"/>
          <w:szCs w:val="32"/>
        </w:rPr>
        <w:t>（二）负责为县政府领导同志提供决策参考信息；指导、监督全县政务信息公开工作。</w:t>
      </w:r>
    </w:p>
    <w:p>
      <w:pPr>
        <w:pStyle w:val="12"/>
        <w:widowControl w:val="0"/>
        <w:adjustRightInd w:val="0"/>
        <w:snapToGrid w:val="0"/>
        <w:spacing w:line="560" w:lineRule="exact"/>
        <w:rPr>
          <w:rFonts w:ascii="仿宋" w:hAnsi="仿宋" w:eastAsia="仿宋"/>
          <w:sz w:val="32"/>
          <w:szCs w:val="32"/>
        </w:rPr>
      </w:pPr>
      <w:r>
        <w:rPr>
          <w:rFonts w:hint="eastAsia" w:ascii="仿宋" w:hAnsi="仿宋" w:eastAsia="仿宋"/>
          <w:sz w:val="32"/>
          <w:szCs w:val="32"/>
        </w:rPr>
        <w:t>（三）负责指导检查县政府各部门和各乡镇政府对县政府决定事项、县政府领导同志指示的贯彻落实情况；负责县政府工作范围内的人大代表意见建议和政协委员提案办理工作。</w:t>
      </w:r>
    </w:p>
    <w:p>
      <w:pPr>
        <w:pStyle w:val="12"/>
        <w:widowControl w:val="0"/>
        <w:adjustRightInd w:val="0"/>
        <w:snapToGrid w:val="0"/>
        <w:spacing w:line="560" w:lineRule="exact"/>
        <w:rPr>
          <w:rFonts w:ascii="仿宋" w:hAnsi="仿宋" w:eastAsia="仿宋"/>
          <w:sz w:val="32"/>
          <w:szCs w:val="32"/>
        </w:rPr>
      </w:pPr>
      <w:r>
        <w:rPr>
          <w:rFonts w:hint="eastAsia" w:ascii="仿宋" w:hAnsi="仿宋" w:eastAsia="仿宋"/>
          <w:sz w:val="32"/>
          <w:szCs w:val="32"/>
        </w:rPr>
        <w:t>（四）负责全县电子政务建设管理及指导检查工作；负责推进全县政务公开工作，组织协调、监督指导和检查考核全县政府信息公开、行政权力公开和公共企事业单位办事公开工作。</w:t>
      </w:r>
    </w:p>
    <w:p>
      <w:pPr>
        <w:pStyle w:val="12"/>
        <w:widowControl w:val="0"/>
        <w:adjustRightInd w:val="0"/>
        <w:snapToGrid w:val="0"/>
        <w:spacing w:line="560" w:lineRule="exact"/>
        <w:rPr>
          <w:rFonts w:ascii="仿宋" w:hAnsi="仿宋" w:eastAsia="仿宋"/>
          <w:sz w:val="32"/>
          <w:szCs w:val="32"/>
        </w:rPr>
      </w:pPr>
      <w:r>
        <w:rPr>
          <w:rFonts w:hint="eastAsia" w:ascii="仿宋" w:hAnsi="仿宋" w:eastAsia="仿宋"/>
          <w:sz w:val="32"/>
          <w:szCs w:val="32"/>
        </w:rPr>
        <w:t>（五）负责协助县政府领导同志做好突发事件的应急处置工作；负责县政府总值班工作，上传下达重要情况，负责落实县政府领导同志指示。</w:t>
      </w:r>
    </w:p>
    <w:p>
      <w:pPr>
        <w:pStyle w:val="12"/>
        <w:widowControl w:val="0"/>
        <w:adjustRightInd w:val="0"/>
        <w:snapToGrid w:val="0"/>
        <w:spacing w:line="560" w:lineRule="exact"/>
        <w:rPr>
          <w:rFonts w:ascii="仿宋" w:hAnsi="仿宋" w:eastAsia="仿宋"/>
          <w:sz w:val="32"/>
          <w:szCs w:val="32"/>
        </w:rPr>
      </w:pPr>
      <w:r>
        <w:rPr>
          <w:rFonts w:hint="eastAsia" w:ascii="仿宋" w:hAnsi="仿宋" w:eastAsia="仿宋"/>
          <w:sz w:val="32"/>
          <w:szCs w:val="32"/>
        </w:rPr>
        <w:t>（六）负责联合办理、统一办理行政便民服务中心事项的组织和协调。</w:t>
      </w:r>
    </w:p>
    <w:p>
      <w:pPr>
        <w:pStyle w:val="12"/>
        <w:widowControl w:val="0"/>
        <w:adjustRightInd w:val="0"/>
        <w:snapToGrid w:val="0"/>
        <w:spacing w:line="560" w:lineRule="exact"/>
        <w:rPr>
          <w:rFonts w:ascii="仿宋" w:hAnsi="仿宋" w:eastAsia="仿宋"/>
          <w:sz w:val="32"/>
          <w:szCs w:val="32"/>
        </w:rPr>
      </w:pPr>
      <w:r>
        <w:rPr>
          <w:rFonts w:hint="eastAsia" w:ascii="仿宋" w:hAnsi="仿宋" w:eastAsia="仿宋"/>
          <w:sz w:val="32"/>
          <w:szCs w:val="32"/>
        </w:rPr>
        <w:t>（七）负责县政府领导后勤事务服务工作；负责县政府机关办公区的安全保卫及绿化、美化、环境卫生工作。</w:t>
      </w:r>
    </w:p>
    <w:p>
      <w:pPr>
        <w:pStyle w:val="12"/>
        <w:widowControl w:val="0"/>
        <w:adjustRightInd w:val="0"/>
        <w:snapToGrid w:val="0"/>
        <w:spacing w:line="560" w:lineRule="exact"/>
        <w:rPr>
          <w:rFonts w:ascii="仿宋" w:hAnsi="仿宋" w:eastAsia="仿宋"/>
          <w:sz w:val="32"/>
          <w:szCs w:val="32"/>
        </w:rPr>
      </w:pPr>
      <w:r>
        <w:rPr>
          <w:rFonts w:hint="eastAsia" w:ascii="仿宋" w:hAnsi="仿宋" w:eastAsia="仿宋"/>
          <w:sz w:val="32"/>
          <w:szCs w:val="32"/>
        </w:rPr>
        <w:t>（八）负责全县依法行政的规划、协调、监督落实工作。</w:t>
      </w:r>
    </w:p>
    <w:p>
      <w:pPr>
        <w:pStyle w:val="12"/>
        <w:widowControl w:val="0"/>
        <w:adjustRightInd w:val="0"/>
        <w:snapToGrid w:val="0"/>
        <w:spacing w:line="560" w:lineRule="exact"/>
        <w:rPr>
          <w:rFonts w:ascii="仿宋" w:hAnsi="仿宋" w:eastAsia="仿宋"/>
          <w:sz w:val="32"/>
          <w:szCs w:val="32"/>
        </w:rPr>
      </w:pPr>
      <w:r>
        <w:rPr>
          <w:rFonts w:hint="eastAsia" w:ascii="仿宋" w:hAnsi="仿宋" w:eastAsia="仿宋"/>
          <w:sz w:val="32"/>
          <w:szCs w:val="32"/>
        </w:rPr>
        <w:t>（九）负责外事、侨务工作。</w:t>
      </w:r>
    </w:p>
    <w:p>
      <w:pPr>
        <w:pStyle w:val="12"/>
        <w:widowControl w:val="0"/>
        <w:adjustRightInd w:val="0"/>
        <w:snapToGrid w:val="0"/>
        <w:spacing w:line="560" w:lineRule="exact"/>
        <w:rPr>
          <w:rFonts w:ascii="仿宋" w:hAnsi="仿宋" w:eastAsia="仿宋"/>
          <w:sz w:val="32"/>
          <w:szCs w:val="32"/>
        </w:rPr>
      </w:pPr>
      <w:r>
        <w:rPr>
          <w:rFonts w:hint="eastAsia" w:ascii="仿宋" w:hAnsi="仿宋" w:eastAsia="仿宋"/>
          <w:sz w:val="32"/>
          <w:szCs w:val="32"/>
        </w:rPr>
        <w:t>（十）完成县政府及上级业务部门交办的其他工作。</w:t>
      </w: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二、机构设置</w:t>
      </w:r>
    </w:p>
    <w:p>
      <w:pPr>
        <w:adjustRightInd w:val="0"/>
        <w:snapToGrid w:val="0"/>
        <w:spacing w:line="560" w:lineRule="exact"/>
        <w:ind w:firstLine="640" w:firstLineChars="200"/>
        <w:rPr>
          <w:rFonts w:ascii="仿宋" w:hAnsi="仿宋" w:eastAsia="仿宋"/>
          <w:sz w:val="32"/>
          <w:szCs w:val="32"/>
        </w:rPr>
      </w:pPr>
      <w:r>
        <w:rPr>
          <w:rFonts w:hint="eastAsia" w:ascii="仿宋" w:hAnsi="仿宋" w:eastAsia="仿宋" w:cs="宋体"/>
          <w:color w:val="000000"/>
          <w:kern w:val="0"/>
          <w:sz w:val="32"/>
          <w:szCs w:val="32"/>
        </w:rPr>
        <w:t>县政府办公室设9个内设机构。经济研究室、综合组、政务公开办公室、行政服务办公室、督办检查室、</w:t>
      </w:r>
      <w:r>
        <w:rPr>
          <w:rFonts w:hint="eastAsia" w:ascii="仿宋" w:hAnsi="仿宋" w:eastAsia="仿宋"/>
          <w:sz w:val="32"/>
          <w:szCs w:val="32"/>
        </w:rPr>
        <w:t>政府应急管理办公室、接待办公室、人事财务办公室、法制办公室。</w:t>
      </w: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三、人员构成</w:t>
      </w:r>
    </w:p>
    <w:p>
      <w:pPr>
        <w:ind w:firstLine="645"/>
        <w:rPr>
          <w:rFonts w:ascii="仿宋" w:hAnsi="仿宋" w:eastAsia="仿宋"/>
          <w:sz w:val="32"/>
          <w:szCs w:val="32"/>
        </w:rPr>
      </w:pPr>
      <w:r>
        <w:rPr>
          <w:rFonts w:hint="eastAsia" w:ascii="仿宋" w:hAnsi="仿宋" w:eastAsia="仿宋"/>
          <w:sz w:val="32"/>
          <w:szCs w:val="32"/>
        </w:rPr>
        <w:t>县政府办公室（县法制办公室）机关行政编制数27名（含县政府，工勤编制14名，事业编制18名。共计编制为59名。实有人数为行政20人，工勤11人，事业16人。离休1人，退休30人。</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四、部门决算编报范围</w:t>
      </w:r>
    </w:p>
    <w:p>
      <w:pPr>
        <w:ind w:firstLine="645"/>
        <w:rPr>
          <w:rFonts w:hint="eastAsia" w:ascii="仿宋" w:hAnsi="仿宋" w:eastAsia="仿宋"/>
          <w:sz w:val="32"/>
          <w:szCs w:val="32"/>
        </w:rPr>
      </w:pPr>
      <w:r>
        <w:rPr>
          <w:rFonts w:hint="eastAsia" w:ascii="仿宋" w:hAnsi="仿宋" w:eastAsia="仿宋"/>
          <w:sz w:val="32"/>
          <w:szCs w:val="32"/>
        </w:rPr>
        <w:t>2017年度纳入本部门决算的编制范围的单位有1个，为集贤县人民政府办公室。</w:t>
      </w:r>
    </w:p>
    <w:p>
      <w:pPr>
        <w:ind w:firstLine="645"/>
        <w:rPr>
          <w:rFonts w:ascii="仿宋" w:hAnsi="仿宋" w:eastAsia="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第二部分 2017年部门预算执行总体情况说明</w:t>
      </w:r>
    </w:p>
    <w:p>
      <w:pPr>
        <w:widowControl/>
        <w:spacing w:line="360" w:lineRule="auto"/>
        <w:ind w:firstLine="707" w:firstLineChars="220"/>
        <w:jc w:val="left"/>
        <w:rPr>
          <w:rFonts w:hint="eastAsia" w:ascii="仿宋" w:hAnsi="仿宋" w:eastAsia="仿宋" w:cs="仿宋"/>
          <w:b/>
          <w:bCs/>
          <w:sz w:val="32"/>
          <w:szCs w:val="32"/>
        </w:rPr>
      </w:pPr>
    </w:p>
    <w:p>
      <w:pPr>
        <w:widowControl/>
        <w:spacing w:line="360" w:lineRule="auto"/>
        <w:ind w:firstLine="707" w:firstLineChars="220"/>
        <w:jc w:val="left"/>
        <w:rPr>
          <w:rFonts w:ascii="仿宋" w:hAnsi="仿宋" w:eastAsia="仿宋" w:cs="仿宋"/>
          <w:b/>
          <w:bCs/>
          <w:sz w:val="32"/>
          <w:szCs w:val="32"/>
        </w:rPr>
      </w:pPr>
      <w:r>
        <w:rPr>
          <w:rFonts w:hint="eastAsia" w:ascii="仿宋" w:hAnsi="仿宋" w:eastAsia="仿宋" w:cs="仿宋"/>
          <w:b/>
          <w:bCs/>
          <w:sz w:val="32"/>
          <w:szCs w:val="32"/>
        </w:rPr>
        <w:t>一、收入支出决算总体情况说明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部门决算本年收入1,029.95万元；用事业基金弥补收支差额0万元；年初结转和结余208.64万元。本年支出1,238.50万元，；结余分配0万元，年末结转和结余0.08万元。2017年度收、支总计1,238.59万元。与2016年相比，收、支总计均减少466.90万元，同比减少27.4%。主要原因：业务活动项目经费减少。</w:t>
      </w:r>
    </w:p>
    <w:p>
      <w:pPr>
        <w:widowControl/>
        <w:spacing w:line="360" w:lineRule="auto"/>
        <w:ind w:firstLine="565" w:firstLineChars="176"/>
        <w:jc w:val="left"/>
        <w:rPr>
          <w:rFonts w:ascii="仿宋" w:hAnsi="仿宋" w:eastAsia="仿宋" w:cs="仿宋"/>
          <w:b/>
          <w:bCs/>
          <w:sz w:val="32"/>
          <w:szCs w:val="32"/>
        </w:rPr>
      </w:pPr>
      <w:r>
        <w:rPr>
          <w:rFonts w:hint="eastAsia" w:ascii="仿宋" w:hAnsi="仿宋" w:eastAsia="仿宋" w:cs="仿宋"/>
          <w:b/>
          <w:bCs/>
          <w:sz w:val="32"/>
          <w:szCs w:val="32"/>
        </w:rPr>
        <w:t>二、收入决算情况说明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本年收入合计1,029.95万元，与2016相比，收入合计减少411.6万元，同比减少28.6%。主要原因：业务活动项目经费减少。</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其中：财政拨款收入1,029.94万元，占100%；事业收入0万元，占0%；其他收入00万元，占0%。</w:t>
      </w:r>
    </w:p>
    <w:p>
      <w:pPr>
        <w:widowControl/>
        <w:spacing w:line="360" w:lineRule="auto"/>
        <w:ind w:firstLine="482" w:firstLineChars="150"/>
        <w:jc w:val="left"/>
        <w:rPr>
          <w:rFonts w:ascii="仿宋" w:hAnsi="仿宋" w:eastAsia="仿宋" w:cs="仿宋"/>
          <w:b/>
          <w:bCs/>
          <w:sz w:val="32"/>
          <w:szCs w:val="32"/>
        </w:rPr>
      </w:pPr>
      <w:r>
        <w:rPr>
          <w:rFonts w:hint="eastAsia" w:ascii="仿宋" w:hAnsi="仿宋" w:eastAsia="仿宋" w:cs="仿宋"/>
          <w:b/>
          <w:bCs/>
          <w:sz w:val="32"/>
          <w:szCs w:val="32"/>
        </w:rPr>
        <w:t>三、支出决算情况说明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本年支出合计1,238.50万元，与2016相比，减少104.47万元，同比增长7.8%。主要原因：业务经费减少</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其中：基本支出1001.42万元，占80.9%；项目支出237.08万元，占19.1%。</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2017年度财政拨款收、支总计1,238.57万元。与2016年相比，财政拨款收、支总计各减少466.91万元，减少27.4%。主要原因：专项业务费减少。</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五、一般公共预算财政拨款支出决算情况说明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（一）一般公共预算财政拨款支出决算总体情况。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2017年度一般公共预算财政拨款支出1,238.50万元，比上年决算数减少104.47万元，减少7.8%，比2017年度年初预算数3,102.36万元，完成年初预算的39.9%，主要原因是工作经费缩减。</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（二）一般公共预算财政拨款支出决算结构情况。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2017年度一般公共预算财政拨款支出1,238.50万元，主要用于以下方面：一般公共服务支出（类）1,069.79万元，占86.4%。住房保障支出（类）23.73万元，占1.9%。社会保障和就业支出（类）144.99万元，占11.7%。</w:t>
      </w:r>
    </w:p>
    <w:p>
      <w:pPr>
        <w:widowControl/>
        <w:spacing w:line="360" w:lineRule="auto"/>
        <w:ind w:firstLine="301" w:firstLineChars="100"/>
        <w:jc w:val="left"/>
        <w:rPr>
          <w:rFonts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2017年度一般公共预算财政拨款支出年初预算为3,102.36万元，支出决算为1,238.50万元，完成年初预算的39.9%。其中：</w:t>
      </w:r>
    </w:p>
    <w:p>
      <w:pPr>
        <w:pStyle w:val="13"/>
        <w:widowControl/>
        <w:numPr>
          <w:ilvl w:val="0"/>
          <w:numId w:val="5"/>
        </w:numPr>
        <w:spacing w:line="360" w:lineRule="auto"/>
        <w:ind w:left="0" w:firstLine="602" w:firstLineChars="0"/>
        <w:jc w:val="left"/>
        <w:rPr>
          <w:rFonts w:ascii="仿宋" w:hAnsi="仿宋" w:eastAsia="仿宋" w:cs="仿宋"/>
          <w:b/>
          <w:bCs/>
          <w:color w:val="000000" w:themeColor="text1"/>
          <w:sz w:val="30"/>
          <w:szCs w:val="30"/>
          <w14:textFill>
            <w14:solidFill>
              <w14:schemeClr w14:val="tx1"/>
            </w14:solidFill>
          </w14:textFill>
        </w:rPr>
      </w:pPr>
      <w:r>
        <w:rPr>
          <w:rFonts w:hint="eastAsia" w:ascii="仿宋" w:hAnsi="仿宋" w:eastAsia="仿宋" w:cs="仿宋"/>
          <w:b/>
          <w:bCs/>
          <w:color w:val="000000" w:themeColor="text1"/>
          <w:sz w:val="30"/>
          <w:szCs w:val="30"/>
          <w14:textFill>
            <w14:solidFill>
              <w14:schemeClr w14:val="tx1"/>
            </w14:solidFill>
          </w14:textFill>
        </w:rPr>
        <w:t>一般公共服务支出（类）政府办公室及相关机构事务（款）行政运行（项）。</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color w:val="000000" w:themeColor="text1"/>
          <w:sz w:val="30"/>
          <w:szCs w:val="30"/>
          <w14:textFill>
            <w14:solidFill>
              <w14:schemeClr w14:val="tx1"/>
            </w14:solidFill>
          </w14:textFill>
        </w:rPr>
        <w:t>年初预算为2,958.66万元，支出决算为803.97万元，占年</w:t>
      </w:r>
      <w:r>
        <w:rPr>
          <w:rFonts w:hint="eastAsia" w:ascii="仿宋" w:hAnsi="仿宋" w:eastAsia="仿宋" w:cs="仿宋"/>
          <w:sz w:val="30"/>
          <w:szCs w:val="30"/>
        </w:rPr>
        <w:t xml:space="preserve">初预算的27.2%。决算数小于预算数的主要原因是按照实际支出调整预算科目。 </w:t>
      </w:r>
    </w:p>
    <w:p>
      <w:pPr>
        <w:pStyle w:val="13"/>
        <w:widowControl/>
        <w:numPr>
          <w:ilvl w:val="0"/>
          <w:numId w:val="5"/>
        </w:numPr>
        <w:spacing w:line="360" w:lineRule="auto"/>
        <w:ind w:left="0" w:firstLine="602" w:firstLineChars="0"/>
        <w:jc w:val="left"/>
        <w:rPr>
          <w:rFonts w:ascii="仿宋" w:hAnsi="仿宋" w:eastAsia="仿宋" w:cs="仿宋"/>
          <w:b/>
          <w:bCs/>
          <w:color w:val="000000" w:themeColor="text1"/>
          <w:sz w:val="30"/>
          <w:szCs w:val="30"/>
          <w14:textFill>
            <w14:solidFill>
              <w14:schemeClr w14:val="tx1"/>
            </w14:solidFill>
          </w14:textFill>
        </w:rPr>
      </w:pPr>
      <w:r>
        <w:rPr>
          <w:rFonts w:hint="eastAsia" w:ascii="仿宋" w:hAnsi="仿宋" w:eastAsia="仿宋" w:cs="仿宋"/>
          <w:b/>
          <w:bCs/>
          <w:color w:val="000000" w:themeColor="text1"/>
          <w:sz w:val="30"/>
          <w:szCs w:val="30"/>
          <w14:textFill>
            <w14:solidFill>
              <w14:schemeClr w14:val="tx1"/>
            </w14:solidFill>
          </w14:textFill>
        </w:rPr>
        <w:t>一般公共服务支出（类）政府办公室及相关机构事务（款）一般行政管理事务（项）。</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 xml:space="preserve">年初预算为0万元，支出决算为237.08万元。决算数大于预算数的主要原因是按照实际支出调整预算科目。 </w:t>
      </w:r>
    </w:p>
    <w:p>
      <w:pPr>
        <w:pStyle w:val="13"/>
        <w:widowControl/>
        <w:numPr>
          <w:ilvl w:val="0"/>
          <w:numId w:val="5"/>
        </w:numPr>
        <w:spacing w:line="360" w:lineRule="auto"/>
        <w:ind w:left="0" w:firstLine="602" w:firstLineChars="0"/>
        <w:jc w:val="left"/>
        <w:rPr>
          <w:rFonts w:ascii="仿宋" w:hAnsi="仿宋" w:eastAsia="仿宋" w:cs="仿宋"/>
          <w:b/>
          <w:bCs/>
          <w:color w:val="000000" w:themeColor="text1"/>
          <w:sz w:val="30"/>
          <w:szCs w:val="30"/>
          <w14:textFill>
            <w14:solidFill>
              <w14:schemeClr w14:val="tx1"/>
            </w14:solidFill>
          </w14:textFill>
        </w:rPr>
      </w:pPr>
      <w:r>
        <w:rPr>
          <w:rFonts w:hint="eastAsia" w:ascii="仿宋" w:hAnsi="仿宋" w:eastAsia="仿宋" w:cs="仿宋"/>
          <w:b/>
          <w:bCs/>
          <w:color w:val="000000" w:themeColor="text1"/>
          <w:sz w:val="30"/>
          <w:szCs w:val="30"/>
          <w14:textFill>
            <w14:solidFill>
              <w14:schemeClr w14:val="tx1"/>
            </w14:solidFill>
          </w14:textFill>
        </w:rPr>
        <w:t>一般公共服务支出（类）政府办公室及相关机构事务（款）法制建设（项）。</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 xml:space="preserve">年初预算为0万元，支出决算为4万元。决算数大于预算数的主要原因是按照实际支出调整预算科目。 </w:t>
      </w:r>
    </w:p>
    <w:p>
      <w:pPr>
        <w:pStyle w:val="13"/>
        <w:widowControl/>
        <w:numPr>
          <w:ilvl w:val="0"/>
          <w:numId w:val="5"/>
        </w:numPr>
        <w:spacing w:line="360" w:lineRule="auto"/>
        <w:ind w:left="0" w:firstLine="602" w:firstLineChars="0"/>
        <w:jc w:val="left"/>
        <w:rPr>
          <w:rFonts w:ascii="仿宋" w:hAnsi="仿宋" w:eastAsia="仿宋" w:cs="仿宋"/>
          <w:b/>
          <w:bCs/>
          <w:color w:val="000000" w:themeColor="text1"/>
          <w:sz w:val="30"/>
          <w:szCs w:val="30"/>
          <w14:textFill>
            <w14:solidFill>
              <w14:schemeClr w14:val="tx1"/>
            </w14:solidFill>
          </w14:textFill>
        </w:rPr>
      </w:pPr>
      <w:r>
        <w:rPr>
          <w:rFonts w:hint="eastAsia" w:ascii="仿宋" w:hAnsi="仿宋" w:eastAsia="仿宋" w:cs="仿宋"/>
          <w:b/>
          <w:bCs/>
          <w:color w:val="000000" w:themeColor="text1"/>
          <w:sz w:val="30"/>
          <w:szCs w:val="30"/>
          <w14:textFill>
            <w14:solidFill>
              <w14:schemeClr w14:val="tx1"/>
            </w14:solidFill>
          </w14:textFill>
        </w:rPr>
        <w:t>一般公共服务支出（类）政府办公室及相关机构事务（款）其他政府办公厅（室）及相关机构事务支出（项）。</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年初预算为0万元，支出决算为24.73万元。决算数大于预算数的主要原因是按照实际支出调整预算科目。</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5、社会保障和就业支出（类）行政事业单位离退休（款）未归口管理的行政单位离退休（项）。</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年初预算为143.70万元，支出决算为144.99万元。完成年初预算的100.9%。决算数大于预算数的主要原因是退休人员增加。</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6、住房保障支出（类）住房改革支出（款）住房公积金（项）。</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年初预算为0万元，支出决算为23.73万元。决算数大于预算数的主要原因是按照实际支出调整科目。</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2017年度一般公共预算财政拨款基本支出1001.42万元，其中：</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人员经费</w:t>
      </w:r>
      <w:r>
        <w:rPr>
          <w:rFonts w:ascii="仿宋" w:hAnsi="仿宋" w:eastAsia="仿宋" w:cs="仿宋"/>
          <w:sz w:val="30"/>
          <w:szCs w:val="30"/>
        </w:rPr>
        <w:t>625.4</w:t>
      </w:r>
      <w:r>
        <w:rPr>
          <w:rFonts w:hint="eastAsia" w:ascii="仿宋" w:hAnsi="仿宋" w:eastAsia="仿宋" w:cs="仿宋"/>
          <w:sz w:val="30"/>
          <w:szCs w:val="30"/>
        </w:rPr>
        <w:t>2万元，主要包括：基本工资、津贴补贴、奖金、其他社会保障缴费、其他工资福利支出、退休费、抚恤金、生活补助、奖励金、住房公积金、采暖补贴、其他对个人和家庭的补助支出；</w:t>
      </w:r>
    </w:p>
    <w:p>
      <w:pPr>
        <w:ind w:firstLine="600" w:firstLineChars="200"/>
        <w:jc w:val="left"/>
        <w:rPr>
          <w:rFonts w:ascii="宋体" w:hAnsi="宋体" w:cs="Arial"/>
          <w:color w:val="000000"/>
          <w:kern w:val="0"/>
          <w:sz w:val="22"/>
          <w:szCs w:val="22"/>
        </w:rPr>
      </w:pPr>
      <w:r>
        <w:rPr>
          <w:rFonts w:hint="eastAsia" w:ascii="仿宋" w:hAnsi="仿宋" w:eastAsia="仿宋" w:cs="仿宋"/>
          <w:sz w:val="30"/>
          <w:szCs w:val="30"/>
        </w:rPr>
        <w:t>公用经费376万元，主要包括：办公费、手续费、邮电费、差旅费、维修(护)费、培训费、劳务费、委托业务费、劳务费、公务用车运行维护费、其他交通费用、其他商品和服务支出、办公设备购置。</w:t>
      </w:r>
    </w:p>
    <w:p>
      <w:pPr>
        <w:widowControl/>
        <w:spacing w:line="360" w:lineRule="auto"/>
        <w:ind w:firstLine="565" w:firstLineChars="176"/>
        <w:jc w:val="left"/>
        <w:rPr>
          <w:rFonts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ind w:firstLine="600" w:firstLineChars="200"/>
        <w:jc w:val="left"/>
        <w:rPr>
          <w:rFonts w:ascii="宋体" w:hAnsi="宋体" w:cs="Arial"/>
          <w:color w:val="000000"/>
          <w:kern w:val="0"/>
          <w:sz w:val="22"/>
          <w:szCs w:val="22"/>
        </w:rPr>
      </w:pPr>
      <w:r>
        <w:rPr>
          <w:rFonts w:hint="eastAsia" w:ascii="仿宋" w:hAnsi="仿宋" w:eastAsia="仿宋" w:cs="仿宋"/>
          <w:sz w:val="30"/>
          <w:szCs w:val="30"/>
        </w:rPr>
        <w:t>2017年度“三公”经费财政拨款支出预算为99.13万元，支出决算为98.94元，完成预算的99.8%，2017年度“三公”经费支出决算数小于预算数，原因是按照预算控制“三公”经费支出。其中：因公出国（境）费支出决算为 0万元，完成预算的 0%，因公出国（境）费支出决算数小于预算数的主要原因：无；公务用车购置及运行费支出决算为93.77万元，完成预算的99.8%，公务用车购置及运行费支出决算数小于预算数，原因是按照预算控制“三公”经费支出；公务接待费支出决算为</w:t>
      </w:r>
      <w:r>
        <w:rPr>
          <w:rFonts w:hint="eastAsia" w:ascii="宋体" w:hAnsi="宋体" w:cs="Arial"/>
          <w:color w:val="000000"/>
          <w:kern w:val="0"/>
          <w:sz w:val="30"/>
          <w:szCs w:val="30"/>
        </w:rPr>
        <w:t>5.16</w:t>
      </w:r>
      <w:r>
        <w:rPr>
          <w:rFonts w:hint="eastAsia" w:ascii="仿宋" w:hAnsi="仿宋" w:eastAsia="仿宋" w:cs="仿宋"/>
          <w:sz w:val="30"/>
          <w:szCs w:val="30"/>
        </w:rPr>
        <w:t>万元，完成预算的100%，公务接待费支出决算数等于预算数，按照预算控制“三公”经费支出。</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三公”经费财政拨款支出决算数比2016年减少36.5万元，减少26.9%，其中：因公出国（境）费支出决算增加0万元，增长0 %，原因为：无；公务用车购置及运行费支出决算减少34.27万元，减少26.8%，原因为：公务用车减少；公务接待费支出决算减少2.24万元，减少30.3%，原因为：公务接待费减少。</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2017年度“三公”经费财政拨款支出决算中，因公出国（境）费支出决算0万元，占0%；公务用车购置及运行费支出决算93.77万元，占99.8%；公务接待费支出决算5.16万元，占0.2%。</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1.因公出国（境）费支出0万元。全年安排因公出国（境）团组0个，累计0人次。</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2.公务用车购置及运行费支出93.77万元。其中：公务用车购置费支出为0万元，公务用车购置0台；公务用车运行维护费93.77万元，公务用车保有量4台。</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3.公务接待费支出万元。其中：国内公务接待费5.16万元，国内公务接待批次25个，国内公务接待人次500人；国（境）外公务接待费0万元，国（境）外公务接待批次0个，国（境）外公务接待人次0人。</w:t>
      </w:r>
    </w:p>
    <w:p>
      <w:pPr>
        <w:widowControl/>
        <w:spacing w:line="360" w:lineRule="auto"/>
        <w:ind w:firstLine="565" w:firstLineChars="176"/>
        <w:jc w:val="left"/>
        <w:rPr>
          <w:rFonts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2017年度政府性基金预算财政拨款年初结转和结余0万元，本年收入决算数0万元，本年支出决算数0万元，年末结转和结余0万元。与 2016年相比，政府性基金预算财政拨款支出增加0万元，增长0%，主要原因是：</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本年度没有政府性基金收入，也没有使用政府性基金安排的支出。与上年一致。</w:t>
      </w:r>
    </w:p>
    <w:p>
      <w:pPr>
        <w:widowControl/>
        <w:spacing w:line="360" w:lineRule="auto"/>
        <w:ind w:firstLine="565" w:firstLineChars="176"/>
        <w:jc w:val="left"/>
        <w:rPr>
          <w:rFonts w:ascii="仿宋" w:hAnsi="仿宋" w:eastAsia="仿宋" w:cs="仿宋"/>
          <w:b/>
          <w:bCs/>
          <w:sz w:val="32"/>
          <w:szCs w:val="32"/>
        </w:rPr>
      </w:pPr>
      <w:r>
        <w:rPr>
          <w:rFonts w:hint="eastAsia" w:ascii="仿宋" w:hAnsi="仿宋" w:eastAsia="仿宋" w:cs="仿宋"/>
          <w:b/>
          <w:bCs/>
          <w:sz w:val="32"/>
          <w:szCs w:val="32"/>
        </w:rPr>
        <w:t>九、预算绩效管理工作开展情况说明。</w:t>
      </w:r>
    </w:p>
    <w:p>
      <w:pPr>
        <w:widowControl/>
        <w:spacing w:line="360" w:lineRule="auto"/>
        <w:ind w:firstLine="600"/>
        <w:jc w:val="left"/>
        <w:rPr>
          <w:rFonts w:ascii="仿宋" w:hAnsi="仿宋" w:eastAsia="仿宋" w:cs="仿宋"/>
          <w:sz w:val="30"/>
          <w:szCs w:val="30"/>
        </w:rPr>
      </w:pPr>
      <w:r>
        <w:rPr>
          <w:rFonts w:hint="eastAsia" w:ascii="仿宋" w:hAnsi="仿宋" w:eastAsia="仿宋" w:cs="仿宋"/>
          <w:sz w:val="30"/>
          <w:szCs w:val="30"/>
        </w:rPr>
        <w:t>本年度没有预算绩效评价项目。</w:t>
      </w:r>
    </w:p>
    <w:p>
      <w:pPr>
        <w:widowControl/>
        <w:spacing w:line="360" w:lineRule="auto"/>
        <w:ind w:firstLine="565" w:firstLineChars="176"/>
        <w:jc w:val="left"/>
        <w:rPr>
          <w:rFonts w:ascii="仿宋" w:hAnsi="仿宋" w:eastAsia="仿宋" w:cs="仿宋"/>
          <w:b/>
          <w:bCs/>
          <w:sz w:val="32"/>
          <w:szCs w:val="32"/>
        </w:rPr>
      </w:pPr>
      <w:r>
        <w:rPr>
          <w:rFonts w:hint="eastAsia" w:ascii="仿宋" w:hAnsi="仿宋" w:eastAsia="仿宋" w:cs="仿宋"/>
          <w:b/>
          <w:bCs/>
          <w:sz w:val="32"/>
          <w:szCs w:val="32"/>
        </w:rPr>
        <w:t>十、其他重要事项情况说明</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（一）机关运行经费支出情况</w:t>
      </w:r>
    </w:p>
    <w:p>
      <w:pPr>
        <w:widowControl/>
        <w:spacing w:line="360" w:lineRule="auto"/>
        <w:ind w:firstLine="600"/>
        <w:jc w:val="left"/>
        <w:rPr>
          <w:rFonts w:ascii="仿宋" w:hAnsi="仿宋" w:eastAsia="仿宋" w:cs="仿宋"/>
          <w:sz w:val="30"/>
          <w:szCs w:val="30"/>
        </w:rPr>
      </w:pPr>
      <w:r>
        <w:rPr>
          <w:rFonts w:hint="eastAsia" w:ascii="仿宋" w:hAnsi="仿宋" w:eastAsia="仿宋" w:cs="仿宋"/>
          <w:sz w:val="30"/>
          <w:szCs w:val="30"/>
        </w:rPr>
        <w:t>2017年度机关运行经费支出376万元，较2016年减少149.16万元，同比减少28.4%。主要原因是:厉行节约，压缩一般性支出。</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（二）政府采购支出情况</w:t>
      </w:r>
    </w:p>
    <w:p>
      <w:pPr>
        <w:widowControl/>
        <w:spacing w:line="360" w:lineRule="auto"/>
        <w:ind w:firstLine="450" w:firstLineChars="150"/>
        <w:jc w:val="left"/>
        <w:rPr>
          <w:rFonts w:ascii="仿宋" w:hAnsi="仿宋" w:eastAsia="仿宋" w:cs="仿宋"/>
          <w:sz w:val="30"/>
          <w:szCs w:val="30"/>
        </w:rPr>
      </w:pPr>
      <w:r>
        <w:rPr>
          <w:rFonts w:hint="eastAsia" w:ascii="仿宋" w:hAnsi="仿宋" w:eastAsia="仿宋" w:cs="仿宋"/>
          <w:sz w:val="30"/>
          <w:szCs w:val="30"/>
        </w:rPr>
        <w:t>2017年度，政府采购支出总额193.63万元，其中：政府采购货物支出25.11万元、政府采购工程支出162.52万元、政府采购服务支出6.00万元。授予中小企业合同金额0万元，占政府采购支出总额的0%，其中：授予小微企业合同金额0万元，占政府采购支出总额的0%。</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（三）国有资产占用情况</w:t>
      </w:r>
    </w:p>
    <w:p>
      <w:pPr>
        <w:widowControl/>
        <w:spacing w:line="360" w:lineRule="auto"/>
        <w:ind w:firstLine="450" w:firstLineChars="150"/>
        <w:jc w:val="left"/>
        <w:rPr>
          <w:rFonts w:ascii="仿宋" w:hAnsi="仿宋" w:eastAsia="仿宋" w:cs="仿宋"/>
          <w:sz w:val="30"/>
          <w:szCs w:val="30"/>
        </w:rPr>
      </w:pPr>
      <w:r>
        <w:rPr>
          <w:rFonts w:hint="eastAsia" w:ascii="仿宋" w:hAnsi="仿宋" w:eastAsia="仿宋" w:cs="仿宋"/>
          <w:sz w:val="30"/>
          <w:szCs w:val="30"/>
        </w:rPr>
        <w:t>截至2017年12月31日，共有车辆4辆，其中，部级领导干部用车0辆、一般公务用车4辆、一般执法执勤用车0辆、特种专业技术用车0辆、其他用车0辆，单位价值50万元以上通用设备0台（套），单位价值在100万以上的专用设备0台(套)。</w:t>
      </w: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第三部分 名词解释</w:t>
      </w:r>
    </w:p>
    <w:p>
      <w:pPr>
        <w:spacing w:line="360" w:lineRule="auto"/>
        <w:rPr>
          <w:rFonts w:ascii="仿宋" w:hAnsi="仿宋" w:eastAsia="仿宋" w:cs="仿宋"/>
          <w:sz w:val="30"/>
          <w:szCs w:val="30"/>
        </w:rPr>
      </w:pPr>
    </w:p>
    <w:p>
      <w:pPr>
        <w:spacing w:line="360" w:lineRule="auto"/>
        <w:ind w:firstLine="660"/>
        <w:rPr>
          <w:rFonts w:ascii="仿宋" w:hAnsi="仿宋" w:eastAsia="仿宋" w:cs="仿宋"/>
          <w:sz w:val="32"/>
          <w:szCs w:val="32"/>
        </w:rPr>
      </w:pPr>
      <w:r>
        <w:rPr>
          <w:rFonts w:hint="eastAsia" w:ascii="仿宋" w:hAnsi="仿宋" w:eastAsia="仿宋" w:cs="仿宋"/>
          <w:sz w:val="30"/>
          <w:szCs w:val="30"/>
        </w:rPr>
        <w:t xml:space="preserve">根据《2017年政府收支分类科目》对2017年度部门决算公开中相关名词解释如下：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spacing w:line="360" w:lineRule="auto"/>
        <w:ind w:firstLine="660"/>
        <w:rPr>
          <w:rFonts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widowControl/>
        <w:spacing w:line="360" w:lineRule="auto"/>
        <w:ind w:firstLine="600" w:firstLineChars="200"/>
        <w:jc w:val="left"/>
        <w:rPr>
          <w:rFonts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widowControl/>
        <w:spacing w:line="360" w:lineRule="auto"/>
        <w:ind w:firstLine="645"/>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年末结转和结余资金：</w:t>
      </w:r>
      <w:r>
        <w:rPr>
          <w:rFonts w:hint="eastAsia" w:ascii="仿宋" w:hAnsi="仿宋" w:eastAsia="仿宋" w:cs="仿宋"/>
          <w:color w:val="111111"/>
          <w:kern w:val="0"/>
          <w:sz w:val="30"/>
          <w:szCs w:val="30"/>
        </w:rPr>
        <w:t>指本年度或以前年度预算安排、因客观条件发生变化无法按原计划实施，需要延迟到以后年度按有关规定继续使用的资金。</w:t>
      </w:r>
    </w:p>
    <w:p>
      <w:pPr>
        <w:widowControl/>
        <w:spacing w:line="360" w:lineRule="auto"/>
        <w:ind w:firstLine="600" w:firstLineChars="200"/>
        <w:jc w:val="left"/>
        <w:rPr>
          <w:rFonts w:ascii="仿宋" w:hAnsi="仿宋" w:eastAsia="仿宋" w:cs="仿宋"/>
          <w:color w:val="333333"/>
          <w:kern w:val="0"/>
          <w:sz w:val="30"/>
          <w:szCs w:val="30"/>
        </w:rPr>
      </w:pPr>
      <w:r>
        <w:rPr>
          <w:rFonts w:hint="eastAsia" w:ascii="仿宋" w:hAnsi="仿宋" w:eastAsia="仿宋" w:cs="仿宋"/>
          <w:color w:val="333333"/>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一般公共财政预算支出：反映公共财政预算收入安排的支出。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对个人和家庭的补助：反映政府用于对个人和家庭的补助支出。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政府性基金预算：对依照法律、行政法规的规定，在一定期限内向特定对象征收、收取或者其他方式筹集的资金，专项用于特定公共事业发展的收支预算。</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政府性基金支出：反映政府基金收入按排的支出。</w:t>
      </w:r>
      <w:r>
        <w:rPr>
          <w:rFonts w:hint="eastAsia" w:ascii="仿宋" w:hAnsi="仿宋" w:eastAsia="仿宋" w:cs="仿宋"/>
          <w:color w:val="333333"/>
          <w:kern w:val="0"/>
          <w:sz w:val="30"/>
          <w:szCs w:val="30"/>
        </w:rPr>
        <w:br w:type="textWrapping"/>
      </w:r>
      <w:r>
        <w:rPr>
          <w:rFonts w:hint="eastAsia" w:ascii="仿宋" w:hAnsi="仿宋" w:eastAsia="仿宋" w:cs="仿宋"/>
          <w:bCs/>
          <w:color w:val="111111"/>
          <w:kern w:val="0"/>
          <w:sz w:val="30"/>
          <w:szCs w:val="30"/>
        </w:rPr>
        <w:t>基本支出：</w:t>
      </w:r>
      <w:r>
        <w:rPr>
          <w:rFonts w:hint="eastAsia" w:ascii="仿宋" w:hAnsi="仿宋" w:eastAsia="仿宋" w:cs="仿宋"/>
          <w:color w:val="111111"/>
          <w:kern w:val="0"/>
          <w:sz w:val="30"/>
          <w:szCs w:val="30"/>
        </w:rPr>
        <w:t>指为保障机构正常运转、完成日常工作任务而发生的人员支出和公用支出。 </w:t>
      </w:r>
    </w:p>
    <w:p>
      <w:pPr>
        <w:spacing w:line="360" w:lineRule="auto"/>
        <w:ind w:firstLine="660"/>
        <w:rPr>
          <w:rFonts w:ascii="仿宋" w:hAnsi="仿宋" w:eastAsia="仿宋" w:cs="仿宋"/>
          <w:sz w:val="30"/>
          <w:szCs w:val="30"/>
        </w:rPr>
      </w:pPr>
      <w:r>
        <w:rPr>
          <w:rFonts w:hint="eastAsia" w:ascii="仿宋" w:hAnsi="仿宋" w:eastAsia="仿宋" w:cs="仿宋"/>
          <w:bCs/>
          <w:color w:val="111111"/>
          <w:kern w:val="0"/>
          <w:sz w:val="30"/>
          <w:szCs w:val="30"/>
        </w:rPr>
        <w:t>项目支出：</w:t>
      </w:r>
      <w:r>
        <w:rPr>
          <w:rFonts w:hint="eastAsia" w:ascii="仿宋" w:hAnsi="仿宋" w:eastAsia="仿宋" w:cs="仿宋"/>
          <w:color w:val="111111"/>
          <w:kern w:val="0"/>
          <w:sz w:val="30"/>
          <w:szCs w:val="30"/>
        </w:rPr>
        <w:t>指在基本支出之外为完成特定的行政任务或事业发展目标所发生的支出。</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w:t>
      </w:r>
      <w:r>
        <w:rPr>
          <w:rFonts w:hint="eastAsia" w:ascii="仿宋" w:hAnsi="仿宋" w:eastAsia="仿宋" w:cs="仿宋"/>
          <w:bCs/>
          <w:color w:val="111111"/>
          <w:kern w:val="0"/>
          <w:sz w:val="30"/>
          <w:szCs w:val="30"/>
        </w:rPr>
        <w:t>三公”经费：</w:t>
      </w:r>
      <w:r>
        <w:rPr>
          <w:rFonts w:hint="eastAsia" w:ascii="仿宋" w:hAnsi="仿宋" w:eastAsia="仿宋" w:cs="仿宋"/>
          <w:color w:val="111111"/>
          <w:kern w:val="0"/>
          <w:sz w:val="30"/>
          <w:szCs w:val="30"/>
        </w:rPr>
        <w:t>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bCs/>
          <w:color w:val="111111"/>
          <w:kern w:val="0"/>
          <w:sz w:val="30"/>
          <w:szCs w:val="30"/>
        </w:rPr>
        <w:t>机关运行经费：</w:t>
      </w:r>
      <w:r>
        <w:rPr>
          <w:rFonts w:hint="eastAsia" w:ascii="仿宋" w:hAnsi="仿宋" w:eastAsia="仿宋" w:cs="仿宋"/>
          <w:color w:val="111111"/>
          <w:kern w:val="0"/>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政府采购：</w:t>
      </w:r>
      <w:r>
        <w:rPr>
          <w:rFonts w:hint="eastAsia" w:ascii="仿宋" w:hAnsi="仿宋" w:eastAsia="仿宋" w:cs="仿宋"/>
          <w:sz w:val="30"/>
          <w:szCs w:val="30"/>
          <w:shd w:val="clear" w:color="auto" w:fill="FFFFFF"/>
        </w:rPr>
        <w:t>指国家各级政府为从事日常的政务活动或为了满足公共服务的目的，利用国家</w:t>
      </w:r>
      <w:r>
        <w:fldChar w:fldCharType="begin"/>
      </w:r>
      <w:r>
        <w:instrText xml:space="preserve"> HYPERLINK "http://baike.so.com/doc/5716834-5929560.html" \t "_blank" </w:instrText>
      </w:r>
      <w:r>
        <w:fldChar w:fldCharType="separate"/>
      </w:r>
      <w:r>
        <w:rPr>
          <w:rStyle w:val="9"/>
          <w:rFonts w:hint="eastAsia" w:ascii="仿宋" w:hAnsi="仿宋" w:eastAsia="仿宋" w:cs="仿宋"/>
          <w:sz w:val="30"/>
          <w:szCs w:val="30"/>
          <w:shd w:val="clear" w:color="auto" w:fill="FFFFFF"/>
        </w:rPr>
        <w:t>财政性资金</w:t>
      </w:r>
      <w:r>
        <w:rPr>
          <w:rStyle w:val="9"/>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和政府借款购买货物、工程和服务的行为。政府采购不仅是指具体的</w:t>
      </w:r>
      <w:r>
        <w:fldChar w:fldCharType="begin"/>
      </w:r>
      <w:r>
        <w:instrText xml:space="preserve"> HYPERLINK "http://baike.so.com/doc/4796448-5012566.html" \t "_blank" </w:instrText>
      </w:r>
      <w:r>
        <w:fldChar w:fldCharType="separate"/>
      </w:r>
      <w:r>
        <w:rPr>
          <w:rStyle w:val="9"/>
          <w:rFonts w:hint="eastAsia" w:ascii="仿宋" w:hAnsi="仿宋" w:eastAsia="仿宋" w:cs="仿宋"/>
          <w:sz w:val="30"/>
          <w:szCs w:val="30"/>
          <w:shd w:val="clear" w:color="auto" w:fill="FFFFFF"/>
        </w:rPr>
        <w:t>采购过程</w:t>
      </w:r>
      <w:r>
        <w:rPr>
          <w:rStyle w:val="9"/>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，而且是采购政策、采购程序、采购过程及采购管理的总称，是一种对公共采购管理的制度。</w:t>
      </w:r>
      <w:r>
        <w:rPr>
          <w:rFonts w:hint="eastAsia" w:ascii="仿宋" w:hAnsi="仿宋" w:eastAsia="仿宋" w:cs="仿宋"/>
          <w:kern w:val="0"/>
          <w:sz w:val="30"/>
          <w:szCs w:val="30"/>
        </w:rPr>
        <w:br w:type="textWrapping"/>
      </w:r>
      <w:r>
        <w:rPr>
          <w:rFonts w:hint="eastAsia" w:ascii="仿宋" w:hAnsi="仿宋" w:eastAsia="仿宋" w:cs="仿宋"/>
          <w:kern w:val="0"/>
          <w:sz w:val="30"/>
          <w:szCs w:val="30"/>
        </w:rPr>
        <w:t>国有资产：</w:t>
      </w:r>
      <w:r>
        <w:rPr>
          <w:rFonts w:hint="eastAsia" w:ascii="仿宋" w:hAnsi="仿宋" w:eastAsia="仿宋" w:cs="仿宋"/>
          <w:sz w:val="30"/>
          <w:szCs w:val="30"/>
          <w:shd w:val="clear" w:color="auto" w:fill="FFFFFF"/>
        </w:rPr>
        <w:t>国有资产是法律上确定为国家所有并能为国家提供经济和</w:t>
      </w:r>
      <w:r>
        <w:fldChar w:fldCharType="begin"/>
      </w:r>
      <w:r>
        <w:instrText xml:space="preserve"> HYPERLINK "http://baike.so.com/doc/741806-785246.html" \t "_blank" </w:instrText>
      </w:r>
      <w:r>
        <w:fldChar w:fldCharType="separate"/>
      </w:r>
      <w:r>
        <w:rPr>
          <w:rStyle w:val="9"/>
          <w:rFonts w:hint="eastAsia" w:ascii="仿宋" w:hAnsi="仿宋" w:eastAsia="仿宋" w:cs="仿宋"/>
          <w:sz w:val="30"/>
          <w:szCs w:val="30"/>
          <w:shd w:val="clear" w:color="auto" w:fill="FFFFFF"/>
        </w:rPr>
        <w:t>社会效益</w:t>
      </w:r>
      <w:r>
        <w:rPr>
          <w:rStyle w:val="9"/>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的各种</w:t>
      </w:r>
      <w:r>
        <w:fldChar w:fldCharType="begin"/>
      </w:r>
      <w:r>
        <w:instrText xml:space="preserve"> HYPERLINK "http://baike.so.com/doc/7798608-8072703.html" \t "_blank" </w:instrText>
      </w:r>
      <w:r>
        <w:fldChar w:fldCharType="separate"/>
      </w:r>
      <w:r>
        <w:rPr>
          <w:rStyle w:val="9"/>
          <w:rFonts w:hint="eastAsia" w:ascii="仿宋" w:hAnsi="仿宋" w:eastAsia="仿宋" w:cs="仿宋"/>
          <w:sz w:val="30"/>
          <w:szCs w:val="30"/>
          <w:shd w:val="clear" w:color="auto" w:fill="FFFFFF"/>
        </w:rPr>
        <w:t>经济资源</w:t>
      </w:r>
      <w:r>
        <w:rPr>
          <w:rStyle w:val="9"/>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的总和。就是属于国家所有的一切</w:t>
      </w:r>
      <w:r>
        <w:fldChar w:fldCharType="begin"/>
      </w:r>
      <w:r>
        <w:instrText xml:space="preserve"> HYPERLINK "http://baike.so.com/doc/5368106-5603892.html" \t "_blank" </w:instrText>
      </w:r>
      <w:r>
        <w:fldChar w:fldCharType="separate"/>
      </w:r>
      <w:r>
        <w:rPr>
          <w:rStyle w:val="9"/>
          <w:rFonts w:hint="eastAsia" w:ascii="仿宋" w:hAnsi="仿宋" w:eastAsia="仿宋" w:cs="仿宋"/>
          <w:sz w:val="30"/>
          <w:szCs w:val="30"/>
          <w:shd w:val="clear" w:color="auto" w:fill="FFFFFF"/>
        </w:rPr>
        <w:t>财产</w:t>
      </w:r>
      <w:r>
        <w:rPr>
          <w:rStyle w:val="9"/>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和财</w:t>
      </w:r>
      <w:r>
        <w:fldChar w:fldCharType="begin"/>
      </w:r>
      <w:r>
        <w:instrText xml:space="preserve"> HYPERLINK "http://baike.so.com/doc/5399886-5637441.html" \t "_blank" </w:instrText>
      </w:r>
      <w:r>
        <w:fldChar w:fldCharType="separate"/>
      </w:r>
      <w:r>
        <w:rPr>
          <w:rStyle w:val="9"/>
          <w:rFonts w:hint="eastAsia" w:ascii="仿宋" w:hAnsi="仿宋" w:eastAsia="仿宋" w:cs="仿宋"/>
          <w:sz w:val="30"/>
          <w:szCs w:val="30"/>
          <w:shd w:val="clear" w:color="auto" w:fill="FFFFFF"/>
        </w:rPr>
        <w:t>产权</w:t>
      </w:r>
      <w:r>
        <w:rPr>
          <w:rStyle w:val="9"/>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利的总称。</w:t>
      </w:r>
      <w:r>
        <w:rPr>
          <w:rStyle w:val="11"/>
          <w:rFonts w:hint="eastAsia" w:ascii="仿宋" w:hAnsi="仿宋" w:eastAsia="仿宋" w:cs="仿宋"/>
          <w:sz w:val="30"/>
          <w:szCs w:val="30"/>
          <w:shd w:val="clear" w:color="auto" w:fill="FFFFFF"/>
        </w:rPr>
        <w:t> </w:t>
      </w:r>
      <w:r>
        <w:rPr>
          <w:rFonts w:hint="eastAsia" w:ascii="仿宋" w:hAnsi="仿宋" w:eastAsia="仿宋" w:cs="仿宋"/>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hint="eastAsia" w:ascii="仿宋" w:hAnsi="仿宋" w:eastAsia="仿宋" w:cs="仿宋"/>
          <w:kern w:val="0"/>
          <w:sz w:val="30"/>
          <w:szCs w:val="30"/>
        </w:rPr>
        <w:t>家所有的资产。行政事业资产的表现形式为；流动资产、长期投资、固定资产、无形资产和其他资产。</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spacing w:line="360" w:lineRule="auto"/>
        <w:rPr>
          <w:rFonts w:ascii="仿宋" w:hAnsi="仿宋" w:eastAsia="仿宋" w:cs="仿宋"/>
          <w:kern w:val="0"/>
          <w:sz w:val="30"/>
          <w:szCs w:val="30"/>
        </w:rPr>
      </w:pP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附件：2017年度部门决算公开表格</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收入支出决算总表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收入决算表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财政拨款收入支出决算总表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Fonts w:ascii="宋体" w:hAnsi="宋体"/>
        <w:sz w:val="24"/>
        <w:szCs w:val="24"/>
      </w:rPr>
    </w:pPr>
    <w:r>
      <w:rPr>
        <w:rFonts w:ascii="宋体" w:hAnsi="宋体"/>
        <w:sz w:val="24"/>
        <w:szCs w:val="24"/>
      </w:rPr>
      <w:fldChar w:fldCharType="begin"/>
    </w:r>
    <w:r>
      <w:rPr>
        <w:rStyle w:val="8"/>
        <w:rFonts w:ascii="宋体" w:hAnsi="宋体"/>
        <w:sz w:val="24"/>
        <w:szCs w:val="24"/>
      </w:rPr>
      <w:instrText xml:space="preserve">PAGE  </w:instrText>
    </w:r>
    <w:r>
      <w:rPr>
        <w:rFonts w:ascii="宋体" w:hAnsi="宋体"/>
        <w:sz w:val="24"/>
        <w:szCs w:val="24"/>
      </w:rPr>
      <w:fldChar w:fldCharType="separate"/>
    </w:r>
    <w:r>
      <w:rPr>
        <w:rStyle w:val="8"/>
        <w:rFonts w:ascii="宋体" w:hAnsi="宋体"/>
        <w:sz w:val="24"/>
        <w:szCs w:val="24"/>
      </w:rPr>
      <w:t>- 1 -</w:t>
    </w:r>
    <w:r>
      <w:rPr>
        <w:rFonts w:ascii="宋体" w:hAnsi="宋体"/>
        <w:sz w:val="24"/>
        <w:szCs w:val="24"/>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7EC1D46"/>
    <w:multiLevelType w:val="multilevel"/>
    <w:tmpl w:val="37EC1D46"/>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3AA4C5C"/>
    <w:multiLevelType w:val="singleLevel"/>
    <w:tmpl w:val="53AA4C5C"/>
    <w:lvl w:ilvl="0" w:tentative="0">
      <w:start w:val="3"/>
      <w:numFmt w:val="chineseCounting"/>
      <w:suff w:val="space"/>
      <w:lvlText w:val="第%1部分"/>
      <w:lvlJc w:val="left"/>
      <w:rPr>
        <w:rFonts w:hint="eastAsia"/>
      </w:rPr>
    </w:lvl>
  </w:abstractNum>
  <w:abstractNum w:abstractNumId="4">
    <w:nsid w:val="668C5559"/>
    <w:multiLevelType w:val="multilevel"/>
    <w:tmpl w:val="668C5559"/>
    <w:lvl w:ilvl="0" w:tentative="0">
      <w:start w:val="1"/>
      <w:numFmt w:val="decimal"/>
      <w:lvlText w:val="%1、"/>
      <w:lvlJc w:val="left"/>
      <w:pPr>
        <w:ind w:left="1322" w:hanging="720"/>
      </w:pPr>
      <w:rPr>
        <w:rFonts w:hint="default"/>
      </w:rPr>
    </w:lvl>
    <w:lvl w:ilvl="1" w:tentative="0">
      <w:start w:val="1"/>
      <w:numFmt w:val="lowerLetter"/>
      <w:lvlText w:val="%2)"/>
      <w:lvlJc w:val="left"/>
      <w:pPr>
        <w:ind w:left="1442" w:hanging="420"/>
      </w:p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03274F"/>
    <w:rsid w:val="000D46B6"/>
    <w:rsid w:val="000E366E"/>
    <w:rsid w:val="000F3393"/>
    <w:rsid w:val="000F6175"/>
    <w:rsid w:val="001067F1"/>
    <w:rsid w:val="00115D64"/>
    <w:rsid w:val="00130604"/>
    <w:rsid w:val="001354B2"/>
    <w:rsid w:val="001436EE"/>
    <w:rsid w:val="00172A89"/>
    <w:rsid w:val="00180636"/>
    <w:rsid w:val="0019172F"/>
    <w:rsid w:val="001B23E0"/>
    <w:rsid w:val="001C549B"/>
    <w:rsid w:val="001F3AB2"/>
    <w:rsid w:val="0028249F"/>
    <w:rsid w:val="00294045"/>
    <w:rsid w:val="002B25E5"/>
    <w:rsid w:val="002C3CED"/>
    <w:rsid w:val="00305178"/>
    <w:rsid w:val="00315564"/>
    <w:rsid w:val="00350460"/>
    <w:rsid w:val="0035202C"/>
    <w:rsid w:val="00363A8F"/>
    <w:rsid w:val="00371591"/>
    <w:rsid w:val="00391E63"/>
    <w:rsid w:val="003B0289"/>
    <w:rsid w:val="003C1845"/>
    <w:rsid w:val="003E3F4E"/>
    <w:rsid w:val="003E4DCD"/>
    <w:rsid w:val="003F7CF3"/>
    <w:rsid w:val="00404A64"/>
    <w:rsid w:val="00416D7B"/>
    <w:rsid w:val="00450E6F"/>
    <w:rsid w:val="00460B15"/>
    <w:rsid w:val="00490AC0"/>
    <w:rsid w:val="0050515A"/>
    <w:rsid w:val="005331EA"/>
    <w:rsid w:val="00543459"/>
    <w:rsid w:val="0058610D"/>
    <w:rsid w:val="005A159F"/>
    <w:rsid w:val="006054AF"/>
    <w:rsid w:val="00623245"/>
    <w:rsid w:val="00631D20"/>
    <w:rsid w:val="00635361"/>
    <w:rsid w:val="00653408"/>
    <w:rsid w:val="006536F4"/>
    <w:rsid w:val="006C0118"/>
    <w:rsid w:val="00755F16"/>
    <w:rsid w:val="00770EEC"/>
    <w:rsid w:val="00781959"/>
    <w:rsid w:val="007F39E0"/>
    <w:rsid w:val="00813515"/>
    <w:rsid w:val="00827BE9"/>
    <w:rsid w:val="008557E7"/>
    <w:rsid w:val="0086563F"/>
    <w:rsid w:val="00884B08"/>
    <w:rsid w:val="00890E25"/>
    <w:rsid w:val="008F3BE0"/>
    <w:rsid w:val="00902214"/>
    <w:rsid w:val="009B3AE8"/>
    <w:rsid w:val="009C46AB"/>
    <w:rsid w:val="009C59B8"/>
    <w:rsid w:val="009D6466"/>
    <w:rsid w:val="009F2158"/>
    <w:rsid w:val="00A033A5"/>
    <w:rsid w:val="00A71DC3"/>
    <w:rsid w:val="00A75130"/>
    <w:rsid w:val="00A762F6"/>
    <w:rsid w:val="00A865B9"/>
    <w:rsid w:val="00AA14DA"/>
    <w:rsid w:val="00AB43AB"/>
    <w:rsid w:val="00AF5907"/>
    <w:rsid w:val="00B629E0"/>
    <w:rsid w:val="00B62FA7"/>
    <w:rsid w:val="00B85B04"/>
    <w:rsid w:val="00BC4270"/>
    <w:rsid w:val="00C15CFA"/>
    <w:rsid w:val="00C22B42"/>
    <w:rsid w:val="00C638F2"/>
    <w:rsid w:val="00C67C2E"/>
    <w:rsid w:val="00C739F7"/>
    <w:rsid w:val="00C94338"/>
    <w:rsid w:val="00CA6CBD"/>
    <w:rsid w:val="00CE1336"/>
    <w:rsid w:val="00CE26C5"/>
    <w:rsid w:val="00D05C55"/>
    <w:rsid w:val="00D36D79"/>
    <w:rsid w:val="00D55188"/>
    <w:rsid w:val="00D74249"/>
    <w:rsid w:val="00D83763"/>
    <w:rsid w:val="00D87C1F"/>
    <w:rsid w:val="00D974D4"/>
    <w:rsid w:val="00DD387F"/>
    <w:rsid w:val="00DE284B"/>
    <w:rsid w:val="00E34636"/>
    <w:rsid w:val="00EB2768"/>
    <w:rsid w:val="00EF447D"/>
    <w:rsid w:val="00EF49D3"/>
    <w:rsid w:val="00F1482F"/>
    <w:rsid w:val="00F4079A"/>
    <w:rsid w:val="00F50F2B"/>
    <w:rsid w:val="012430ED"/>
    <w:rsid w:val="014A5949"/>
    <w:rsid w:val="023F13DB"/>
    <w:rsid w:val="026066D5"/>
    <w:rsid w:val="02EC7C1C"/>
    <w:rsid w:val="032D5CC6"/>
    <w:rsid w:val="03456C94"/>
    <w:rsid w:val="036A7041"/>
    <w:rsid w:val="03CD392E"/>
    <w:rsid w:val="04DF25D8"/>
    <w:rsid w:val="051C7B75"/>
    <w:rsid w:val="065D3951"/>
    <w:rsid w:val="06EE4F18"/>
    <w:rsid w:val="075B29A0"/>
    <w:rsid w:val="075F1F7C"/>
    <w:rsid w:val="08F04202"/>
    <w:rsid w:val="090E785C"/>
    <w:rsid w:val="092248D9"/>
    <w:rsid w:val="093B0FC9"/>
    <w:rsid w:val="099C4029"/>
    <w:rsid w:val="09AD4741"/>
    <w:rsid w:val="09B50255"/>
    <w:rsid w:val="09E539AA"/>
    <w:rsid w:val="0A11221C"/>
    <w:rsid w:val="0ABC48D5"/>
    <w:rsid w:val="0AD801E8"/>
    <w:rsid w:val="0B65121C"/>
    <w:rsid w:val="0BC654D1"/>
    <w:rsid w:val="0C8F537C"/>
    <w:rsid w:val="0CD159E4"/>
    <w:rsid w:val="0D246A78"/>
    <w:rsid w:val="0D410992"/>
    <w:rsid w:val="0D5E7D65"/>
    <w:rsid w:val="10566C79"/>
    <w:rsid w:val="10A739B1"/>
    <w:rsid w:val="124A2012"/>
    <w:rsid w:val="141522A4"/>
    <w:rsid w:val="145C1DAC"/>
    <w:rsid w:val="149D7C22"/>
    <w:rsid w:val="14C16853"/>
    <w:rsid w:val="15075333"/>
    <w:rsid w:val="164964BC"/>
    <w:rsid w:val="16531039"/>
    <w:rsid w:val="16EA1D4C"/>
    <w:rsid w:val="17667A1A"/>
    <w:rsid w:val="17A60DC6"/>
    <w:rsid w:val="17F80D10"/>
    <w:rsid w:val="180D60E6"/>
    <w:rsid w:val="19663C21"/>
    <w:rsid w:val="19670D43"/>
    <w:rsid w:val="197D29ED"/>
    <w:rsid w:val="19AC136C"/>
    <w:rsid w:val="1B324E77"/>
    <w:rsid w:val="1C1E0652"/>
    <w:rsid w:val="1C3521E8"/>
    <w:rsid w:val="1DD71951"/>
    <w:rsid w:val="1E3E4241"/>
    <w:rsid w:val="1E7E4DD1"/>
    <w:rsid w:val="1EE81910"/>
    <w:rsid w:val="1F096E9E"/>
    <w:rsid w:val="209730DE"/>
    <w:rsid w:val="20DE39CC"/>
    <w:rsid w:val="21965ECE"/>
    <w:rsid w:val="22897FD1"/>
    <w:rsid w:val="22B54AA2"/>
    <w:rsid w:val="22BA176C"/>
    <w:rsid w:val="23C62C14"/>
    <w:rsid w:val="23EB4166"/>
    <w:rsid w:val="243B6E0E"/>
    <w:rsid w:val="246F00D9"/>
    <w:rsid w:val="258B1D72"/>
    <w:rsid w:val="25D0378A"/>
    <w:rsid w:val="26241031"/>
    <w:rsid w:val="262D370B"/>
    <w:rsid w:val="26B10EFE"/>
    <w:rsid w:val="270D66A4"/>
    <w:rsid w:val="274678A7"/>
    <w:rsid w:val="277C33F5"/>
    <w:rsid w:val="27AA352E"/>
    <w:rsid w:val="28415CB2"/>
    <w:rsid w:val="284819BC"/>
    <w:rsid w:val="293B5244"/>
    <w:rsid w:val="298D0FFB"/>
    <w:rsid w:val="2B2D1149"/>
    <w:rsid w:val="2BD33C97"/>
    <w:rsid w:val="2CBE5DC0"/>
    <w:rsid w:val="2FA8566D"/>
    <w:rsid w:val="2FF44D1F"/>
    <w:rsid w:val="30D01C13"/>
    <w:rsid w:val="312D1038"/>
    <w:rsid w:val="31B12627"/>
    <w:rsid w:val="31B14F25"/>
    <w:rsid w:val="31C55274"/>
    <w:rsid w:val="33A52EDF"/>
    <w:rsid w:val="33B00D4E"/>
    <w:rsid w:val="33B30709"/>
    <w:rsid w:val="34836760"/>
    <w:rsid w:val="349E4F95"/>
    <w:rsid w:val="34E31610"/>
    <w:rsid w:val="353D309D"/>
    <w:rsid w:val="354B0485"/>
    <w:rsid w:val="359D1E5E"/>
    <w:rsid w:val="36864B31"/>
    <w:rsid w:val="37797A60"/>
    <w:rsid w:val="379F7F7D"/>
    <w:rsid w:val="37DD3D7B"/>
    <w:rsid w:val="380E2783"/>
    <w:rsid w:val="38A67532"/>
    <w:rsid w:val="38B91545"/>
    <w:rsid w:val="3942192D"/>
    <w:rsid w:val="395039EC"/>
    <w:rsid w:val="3A314861"/>
    <w:rsid w:val="3B057725"/>
    <w:rsid w:val="3B6067D0"/>
    <w:rsid w:val="3BC956C1"/>
    <w:rsid w:val="3BDC189F"/>
    <w:rsid w:val="3BF17A90"/>
    <w:rsid w:val="3C56526F"/>
    <w:rsid w:val="3CB6492A"/>
    <w:rsid w:val="3D0E0C91"/>
    <w:rsid w:val="3D4C6F00"/>
    <w:rsid w:val="3DC2625E"/>
    <w:rsid w:val="3E0C4CB4"/>
    <w:rsid w:val="3E890E84"/>
    <w:rsid w:val="3F1B0D68"/>
    <w:rsid w:val="3FCF46D7"/>
    <w:rsid w:val="4049017B"/>
    <w:rsid w:val="419732B8"/>
    <w:rsid w:val="42884DB7"/>
    <w:rsid w:val="42BD15F0"/>
    <w:rsid w:val="42C0261B"/>
    <w:rsid w:val="43342B06"/>
    <w:rsid w:val="439B0E5B"/>
    <w:rsid w:val="454D033D"/>
    <w:rsid w:val="454D1830"/>
    <w:rsid w:val="455A0572"/>
    <w:rsid w:val="455C498F"/>
    <w:rsid w:val="457E5F6B"/>
    <w:rsid w:val="4752048D"/>
    <w:rsid w:val="47E7503F"/>
    <w:rsid w:val="480B68BA"/>
    <w:rsid w:val="481C5784"/>
    <w:rsid w:val="48E37E88"/>
    <w:rsid w:val="490A248A"/>
    <w:rsid w:val="4A111454"/>
    <w:rsid w:val="4A7F6176"/>
    <w:rsid w:val="4B292024"/>
    <w:rsid w:val="4B863CA9"/>
    <w:rsid w:val="4BF91344"/>
    <w:rsid w:val="4CE65541"/>
    <w:rsid w:val="4DFF3087"/>
    <w:rsid w:val="4EB457CE"/>
    <w:rsid w:val="4F532256"/>
    <w:rsid w:val="4F5D4E27"/>
    <w:rsid w:val="4FA32937"/>
    <w:rsid w:val="504618A3"/>
    <w:rsid w:val="50D8162A"/>
    <w:rsid w:val="510F5285"/>
    <w:rsid w:val="51663AB7"/>
    <w:rsid w:val="519D0D67"/>
    <w:rsid w:val="51FA2834"/>
    <w:rsid w:val="5256154F"/>
    <w:rsid w:val="526410F9"/>
    <w:rsid w:val="52DA4F90"/>
    <w:rsid w:val="530A248E"/>
    <w:rsid w:val="532400E8"/>
    <w:rsid w:val="53DF1E0D"/>
    <w:rsid w:val="55722011"/>
    <w:rsid w:val="55750B95"/>
    <w:rsid w:val="55F213E7"/>
    <w:rsid w:val="564D307B"/>
    <w:rsid w:val="56BF45D7"/>
    <w:rsid w:val="57A44A7B"/>
    <w:rsid w:val="57E32236"/>
    <w:rsid w:val="57F5417C"/>
    <w:rsid w:val="58091D99"/>
    <w:rsid w:val="58B77229"/>
    <w:rsid w:val="595C25FA"/>
    <w:rsid w:val="59857969"/>
    <w:rsid w:val="59994756"/>
    <w:rsid w:val="59F87D38"/>
    <w:rsid w:val="5A693D23"/>
    <w:rsid w:val="5A6B5A90"/>
    <w:rsid w:val="5B50022A"/>
    <w:rsid w:val="5C7A28AC"/>
    <w:rsid w:val="5D6B2104"/>
    <w:rsid w:val="5EC53E9C"/>
    <w:rsid w:val="5ECB5D12"/>
    <w:rsid w:val="5EFD35E7"/>
    <w:rsid w:val="601C7D6A"/>
    <w:rsid w:val="606B1DA7"/>
    <w:rsid w:val="60BF77ED"/>
    <w:rsid w:val="60FB2217"/>
    <w:rsid w:val="612D4AD1"/>
    <w:rsid w:val="618C119F"/>
    <w:rsid w:val="61916FE3"/>
    <w:rsid w:val="61BC32CB"/>
    <w:rsid w:val="626A0CEB"/>
    <w:rsid w:val="62974C19"/>
    <w:rsid w:val="62FF022C"/>
    <w:rsid w:val="63144422"/>
    <w:rsid w:val="63441D54"/>
    <w:rsid w:val="640006FF"/>
    <w:rsid w:val="64636829"/>
    <w:rsid w:val="64E35DF7"/>
    <w:rsid w:val="65505D1E"/>
    <w:rsid w:val="657D0288"/>
    <w:rsid w:val="65924E36"/>
    <w:rsid w:val="66A30172"/>
    <w:rsid w:val="66BB423A"/>
    <w:rsid w:val="67F87143"/>
    <w:rsid w:val="689913DD"/>
    <w:rsid w:val="69093FDB"/>
    <w:rsid w:val="6917546E"/>
    <w:rsid w:val="69B06247"/>
    <w:rsid w:val="69C7339C"/>
    <w:rsid w:val="6A05571E"/>
    <w:rsid w:val="6B0A0C3B"/>
    <w:rsid w:val="6B4A2B57"/>
    <w:rsid w:val="6B5529A7"/>
    <w:rsid w:val="6BD702C2"/>
    <w:rsid w:val="6C0C1489"/>
    <w:rsid w:val="6C6F6CF3"/>
    <w:rsid w:val="6D535020"/>
    <w:rsid w:val="6DBF5551"/>
    <w:rsid w:val="6E253E16"/>
    <w:rsid w:val="6E873D36"/>
    <w:rsid w:val="6EE3061B"/>
    <w:rsid w:val="6FCB38A4"/>
    <w:rsid w:val="6FEA6FCC"/>
    <w:rsid w:val="70310EB8"/>
    <w:rsid w:val="71B7411E"/>
    <w:rsid w:val="72012B78"/>
    <w:rsid w:val="72DE3D50"/>
    <w:rsid w:val="73910A88"/>
    <w:rsid w:val="73945713"/>
    <w:rsid w:val="7439147C"/>
    <w:rsid w:val="743B1C78"/>
    <w:rsid w:val="74460E9D"/>
    <w:rsid w:val="74492A3A"/>
    <w:rsid w:val="74B41077"/>
    <w:rsid w:val="75BE6124"/>
    <w:rsid w:val="75C475DB"/>
    <w:rsid w:val="75E406CC"/>
    <w:rsid w:val="76B41149"/>
    <w:rsid w:val="76F84DB1"/>
    <w:rsid w:val="77802CCF"/>
    <w:rsid w:val="77FD2102"/>
    <w:rsid w:val="7B483738"/>
    <w:rsid w:val="7D2865F7"/>
    <w:rsid w:val="7E223BE6"/>
    <w:rsid w:val="7E5163B7"/>
    <w:rsid w:val="7EFE2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5"/>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0"/>
    <w:rPr>
      <w:b/>
    </w:rPr>
  </w:style>
  <w:style w:type="character" w:styleId="8">
    <w:name w:val="page number"/>
    <w:basedOn w:val="6"/>
    <w:qFormat/>
    <w:uiPriority w:val="0"/>
  </w:style>
  <w:style w:type="character" w:styleId="9">
    <w:name w:val="Hyperlink"/>
    <w:qFormat/>
    <w:uiPriority w:val="0"/>
    <w:rPr>
      <w:color w:val="141414"/>
      <w:u w:val="none"/>
    </w:rPr>
  </w:style>
  <w:style w:type="character" w:customStyle="1" w:styleId="11">
    <w:name w:val="apple-converted-space"/>
    <w:basedOn w:val="6"/>
    <w:qFormat/>
    <w:uiPriority w:val="0"/>
  </w:style>
  <w:style w:type="paragraph" w:customStyle="1" w:styleId="12">
    <w:name w:val="p0"/>
    <w:basedOn w:val="1"/>
    <w:qFormat/>
    <w:uiPriority w:val="0"/>
    <w:pPr>
      <w:widowControl/>
      <w:ind w:firstLine="420"/>
      <w:jc w:val="left"/>
    </w:pPr>
    <w:rPr>
      <w:kern w:val="0"/>
      <w:sz w:val="20"/>
      <w:szCs w:val="20"/>
    </w:rPr>
  </w:style>
  <w:style w:type="paragraph" w:customStyle="1" w:styleId="13">
    <w:name w:val="列出段落1"/>
    <w:basedOn w:val="1"/>
    <w:unhideWhenUsed/>
    <w:qFormat/>
    <w:uiPriority w:val="99"/>
    <w:pPr>
      <w:ind w:firstLine="420" w:firstLineChars="200"/>
    </w:pPr>
  </w:style>
  <w:style w:type="character" w:customStyle="1" w:styleId="14">
    <w:name w:val="页眉 Char"/>
    <w:basedOn w:val="6"/>
    <w:link w:val="4"/>
    <w:qFormat/>
    <w:uiPriority w:val="0"/>
    <w:rPr>
      <w:kern w:val="2"/>
      <w:sz w:val="18"/>
      <w:szCs w:val="18"/>
    </w:rPr>
  </w:style>
  <w:style w:type="character" w:customStyle="1" w:styleId="15">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P R C</Company>
  <Pages>14</Pages>
  <Words>5811</Words>
  <Characters>1123</Characters>
  <Lines>9</Lines>
  <Paragraphs>13</Paragraphs>
  <TotalTime>52</TotalTime>
  <ScaleCrop>false</ScaleCrop>
  <LinksUpToDate>false</LinksUpToDate>
  <CharactersWithSpaces>6921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Administrator</cp:lastModifiedBy>
  <cp:lastPrinted>2018-10-12T01:31:00Z</cp:lastPrinted>
  <dcterms:modified xsi:type="dcterms:W3CDTF">2019-02-20T00:45:42Z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